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ECB" w:rsidRPr="00930ECB" w:rsidRDefault="00930ECB" w:rsidP="00930ECB">
      <w:pPr>
        <w:shd w:val="clear" w:color="auto" w:fill="FFFFFF"/>
        <w:outlineLvl w:val="1"/>
        <w:rPr>
          <w:rFonts w:ascii="PTSans" w:hAnsi="PTSans"/>
          <w:bCs/>
          <w:color w:val="006FB7"/>
          <w:sz w:val="43"/>
          <w:szCs w:val="43"/>
          <w:lang w:eastAsia="fr-FR"/>
        </w:rPr>
      </w:pPr>
      <w:r w:rsidRPr="00930ECB">
        <w:rPr>
          <w:rFonts w:ascii="PTSans" w:hAnsi="PTSans"/>
          <w:bCs/>
          <w:color w:val="006FB7"/>
          <w:sz w:val="43"/>
          <w:szCs w:val="43"/>
          <w:lang w:eastAsia="fr-FR"/>
        </w:rPr>
        <w:t>Fiche 08 - Deuxième étage – Compensé</w:t>
      </w:r>
    </w:p>
    <w:tbl>
      <w:tblPr>
        <w:tblW w:w="0" w:type="auto"/>
        <w:shd w:val="clear" w:color="auto" w:fill="FFFFFF"/>
        <w:tblCellMar>
          <w:top w:w="15" w:type="dxa"/>
          <w:left w:w="15" w:type="dxa"/>
          <w:bottom w:w="15" w:type="dxa"/>
          <w:right w:w="15" w:type="dxa"/>
        </w:tblCellMar>
        <w:tblLook w:val="0000"/>
      </w:tblPr>
      <w:tblGrid>
        <w:gridCol w:w="8514"/>
        <w:gridCol w:w="552"/>
      </w:tblGrid>
      <w:tr w:rsidR="00930ECB" w:rsidRPr="00930ECB" w:rsidTr="00930ECB">
        <w:tc>
          <w:tcPr>
            <w:tcW w:w="0" w:type="auto"/>
            <w:shd w:val="clear" w:color="auto" w:fill="FFFFFF"/>
            <w:tcMar>
              <w:top w:w="0" w:type="dxa"/>
              <w:left w:w="0" w:type="dxa"/>
              <w:bottom w:w="0" w:type="dxa"/>
              <w:right w:w="0" w:type="dxa"/>
            </w:tcMar>
            <w:vAlign w:val="center"/>
          </w:tcPr>
          <w:p w:rsidR="00930ECB" w:rsidRPr="00930ECB" w:rsidRDefault="00930ECB" w:rsidP="00930ECB">
            <w:pPr>
              <w:outlineLvl w:val="2"/>
              <w:rPr>
                <w:rFonts w:ascii="PTSans" w:hAnsi="PTSans"/>
                <w:b w:val="0"/>
                <w:color w:val="006FB7"/>
                <w:szCs w:val="44"/>
                <w:lang w:eastAsia="fr-FR"/>
              </w:rPr>
            </w:pPr>
            <w:r w:rsidRPr="00930ECB">
              <w:rPr>
                <w:rFonts w:ascii="PTSans" w:hAnsi="PTSans"/>
                <w:b w:val="0"/>
                <w:color w:val="006FB7"/>
                <w:szCs w:val="44"/>
                <w:lang w:eastAsia="fr-FR"/>
              </w:rPr>
              <w:t>Fonctionnement</w:t>
            </w:r>
          </w:p>
          <w:p w:rsidR="00930ECB" w:rsidRPr="00930ECB" w:rsidRDefault="00930ECB" w:rsidP="00930ECB">
            <w:pPr>
              <w:outlineLvl w:val="3"/>
              <w:rPr>
                <w:rFonts w:ascii="PTSans" w:hAnsi="PTSans"/>
                <w:bCs/>
                <w:color w:val="001136"/>
                <w:sz w:val="32"/>
                <w:szCs w:val="32"/>
                <w:lang w:eastAsia="fr-FR"/>
              </w:rPr>
            </w:pPr>
            <w:r w:rsidRPr="00930ECB">
              <w:rPr>
                <w:rFonts w:ascii="PTSans" w:hAnsi="PTSans"/>
                <w:bCs/>
                <w:color w:val="001136"/>
                <w:sz w:val="32"/>
                <w:szCs w:val="32"/>
                <w:lang w:eastAsia="fr-FR"/>
              </w:rPr>
              <w:t>-  Au repos ou à l'expiration, le clapet est fermé.</w:t>
            </w:r>
            <w:r w:rsidRPr="00930ECB">
              <w:rPr>
                <w:rFonts w:ascii="PTSans" w:hAnsi="PTSans"/>
                <w:bCs/>
                <w:color w:val="001136"/>
                <w:sz w:val="32"/>
                <w:szCs w:val="32"/>
                <w:lang w:eastAsia="fr-FR"/>
              </w:rPr>
              <w:br/>
              <w:t>- À l'inspiration, une dépression se produit dans la chambre sèche. L’action de la Pa (1) sur la membrane renforcée par le levier (5) à tendance à ouvrir le clapet en comprimant le ressort de rappel.</w:t>
            </w:r>
          </w:p>
          <w:p w:rsidR="00930ECB" w:rsidRPr="00930ECB" w:rsidRDefault="00930ECB" w:rsidP="00930ECB">
            <w:pPr>
              <w:outlineLvl w:val="2"/>
              <w:rPr>
                <w:rFonts w:ascii="PTSans" w:hAnsi="PTSans"/>
                <w:b w:val="0"/>
                <w:color w:val="006FB7"/>
                <w:szCs w:val="44"/>
                <w:lang w:eastAsia="fr-FR"/>
              </w:rPr>
            </w:pPr>
            <w:r w:rsidRPr="00930ECB">
              <w:rPr>
                <w:rFonts w:ascii="PTSans" w:hAnsi="PTSans"/>
                <w:b w:val="0"/>
                <w:color w:val="006FB7"/>
                <w:szCs w:val="44"/>
                <w:lang w:eastAsia="fr-FR"/>
              </w:rPr>
              <w:t>Forces en présence à l'équilibre (Voir les flèches)</w:t>
            </w:r>
          </w:p>
          <w:p w:rsidR="00930ECB" w:rsidRPr="00930ECB" w:rsidRDefault="00930ECB" w:rsidP="00930ECB">
            <w:pPr>
              <w:outlineLvl w:val="3"/>
              <w:rPr>
                <w:rFonts w:ascii="PTSans" w:hAnsi="PTSans"/>
                <w:bCs/>
                <w:color w:val="001136"/>
                <w:sz w:val="32"/>
                <w:szCs w:val="32"/>
                <w:lang w:eastAsia="fr-FR"/>
              </w:rPr>
            </w:pPr>
            <w:r w:rsidRPr="00930ECB">
              <w:rPr>
                <w:rFonts w:ascii="PTSans" w:hAnsi="PTSans"/>
                <w:bCs/>
                <w:color w:val="001136"/>
                <w:sz w:val="32"/>
                <w:szCs w:val="32"/>
                <w:lang w:eastAsia="fr-FR"/>
              </w:rPr>
              <w:t>Le clapet reçoit de part et d'autre la même pression sur des surfaces théoriquement égales. Il est donc compensé.</w:t>
            </w:r>
            <w:r w:rsidRPr="00930ECB">
              <w:rPr>
                <w:rFonts w:ascii="PTSans" w:hAnsi="PTSans"/>
                <w:bCs/>
                <w:color w:val="001136"/>
                <w:sz w:val="32"/>
                <w:szCs w:val="32"/>
                <w:lang w:eastAsia="fr-FR"/>
              </w:rPr>
              <w:br/>
              <w:t>La force qui tend à fermer le clapet</w:t>
            </w:r>
            <w:r w:rsidRPr="00930ECB">
              <w:rPr>
                <w:rFonts w:ascii="PTSans" w:hAnsi="PTSans"/>
                <w:bCs/>
                <w:color w:val="001136"/>
                <w:sz w:val="32"/>
                <w:szCs w:val="32"/>
                <w:lang w:eastAsia="fr-FR"/>
              </w:rPr>
              <w:br/>
              <w:t>- Celle du ressort de rappel (10) = fr</w:t>
            </w:r>
          </w:p>
          <w:p w:rsidR="00930ECB" w:rsidRPr="00930ECB" w:rsidRDefault="00930ECB" w:rsidP="00930ECB">
            <w:pPr>
              <w:outlineLvl w:val="2"/>
              <w:rPr>
                <w:rFonts w:ascii="PTSans" w:hAnsi="PTSans"/>
                <w:b w:val="0"/>
                <w:color w:val="006FB7"/>
                <w:szCs w:val="44"/>
                <w:lang w:eastAsia="fr-FR"/>
              </w:rPr>
            </w:pPr>
            <w:r w:rsidRPr="00930ECB">
              <w:rPr>
                <w:rFonts w:ascii="PTSans" w:hAnsi="PTSans"/>
                <w:b w:val="0"/>
                <w:color w:val="006FB7"/>
                <w:szCs w:val="44"/>
                <w:lang w:eastAsia="fr-FR"/>
              </w:rPr>
              <w:t>Remarque :</w:t>
            </w:r>
          </w:p>
          <w:p w:rsidR="00930ECB" w:rsidRPr="00930ECB" w:rsidRDefault="00930ECB" w:rsidP="00930ECB">
            <w:pPr>
              <w:outlineLvl w:val="3"/>
              <w:rPr>
                <w:rFonts w:ascii="PTSans" w:hAnsi="PTSans"/>
                <w:bCs/>
                <w:color w:val="001136"/>
                <w:sz w:val="32"/>
                <w:szCs w:val="32"/>
                <w:lang w:eastAsia="fr-FR"/>
              </w:rPr>
            </w:pPr>
            <w:r w:rsidRPr="00930ECB">
              <w:rPr>
                <w:rFonts w:ascii="PTSans" w:hAnsi="PTSans"/>
                <w:bCs/>
                <w:color w:val="001136"/>
                <w:sz w:val="32"/>
                <w:szCs w:val="32"/>
                <w:lang w:eastAsia="fr-FR"/>
              </w:rPr>
              <w:t>Une petite sous compensation est cependant nécessaire pour protéger le tuyau MP en cas de fuite au premier étage.</w:t>
            </w:r>
            <w:r w:rsidRPr="00930ECB">
              <w:rPr>
                <w:rFonts w:ascii="PTSans" w:hAnsi="PTSans"/>
                <w:bCs/>
                <w:color w:val="001136"/>
                <w:sz w:val="32"/>
                <w:szCs w:val="32"/>
                <w:lang w:eastAsia="fr-FR"/>
              </w:rPr>
              <w:br/>
              <w:t>(La surface du clapet est un peu plus grande que celle dans la chambre de compensation. Il agit comme un petit clapet aval qui laisse échapper une surpression éventuelle et protège le tuyau)</w:t>
            </w:r>
          </w:p>
          <w:p w:rsidR="00930ECB" w:rsidRPr="00930ECB" w:rsidRDefault="00930ECB" w:rsidP="00930ECB">
            <w:pPr>
              <w:outlineLvl w:val="2"/>
              <w:rPr>
                <w:rFonts w:ascii="PTSans" w:hAnsi="PTSans"/>
                <w:b w:val="0"/>
                <w:color w:val="006FB7"/>
                <w:szCs w:val="44"/>
                <w:lang w:eastAsia="fr-FR"/>
              </w:rPr>
            </w:pPr>
            <w:r w:rsidRPr="00930ECB">
              <w:rPr>
                <w:rFonts w:ascii="PTSans" w:hAnsi="PTSans"/>
                <w:b w:val="0"/>
                <w:color w:val="006FB7"/>
                <w:szCs w:val="44"/>
                <w:lang w:eastAsia="fr-FR"/>
              </w:rPr>
              <w:t>Avantages :</w:t>
            </w:r>
          </w:p>
          <w:p w:rsidR="00930ECB" w:rsidRPr="00930ECB" w:rsidRDefault="00930ECB" w:rsidP="00930ECB">
            <w:pPr>
              <w:outlineLvl w:val="3"/>
              <w:rPr>
                <w:rFonts w:ascii="PTSans" w:hAnsi="PTSans"/>
                <w:bCs/>
                <w:color w:val="001136"/>
                <w:sz w:val="32"/>
                <w:szCs w:val="32"/>
                <w:lang w:eastAsia="fr-FR"/>
              </w:rPr>
            </w:pPr>
            <w:r w:rsidRPr="00930ECB">
              <w:rPr>
                <w:rFonts w:ascii="PTSans" w:hAnsi="PTSans"/>
                <w:bCs/>
                <w:color w:val="001136"/>
                <w:sz w:val="32"/>
                <w:szCs w:val="32"/>
                <w:lang w:eastAsia="fr-FR"/>
              </w:rPr>
              <w:t>- A l'inspiration, la compensation compense les pertes de pression dans le tuyau, ce qui stabilise les performances.</w:t>
            </w:r>
            <w:r w:rsidRPr="00930ECB">
              <w:rPr>
                <w:rFonts w:ascii="PTSans" w:hAnsi="PTSans"/>
                <w:bCs/>
                <w:color w:val="001136"/>
                <w:sz w:val="32"/>
                <w:szCs w:val="32"/>
                <w:lang w:eastAsia="fr-FR"/>
              </w:rPr>
              <w:br/>
              <w:t>- Elle permet de réduire le seuil d'ouverture à une valeur très basse.</w:t>
            </w:r>
            <w:r w:rsidRPr="00930ECB">
              <w:rPr>
                <w:rFonts w:ascii="PTSans" w:hAnsi="PTSans"/>
                <w:bCs/>
                <w:color w:val="001136"/>
                <w:sz w:val="32"/>
                <w:szCs w:val="32"/>
                <w:lang w:eastAsia="fr-FR"/>
              </w:rPr>
              <w:br/>
              <w:t>- Le clapet de rappel est normalement fermé sous une faible pression ce qui au repos  évite de dégrader la partie souple. (</w:t>
            </w:r>
            <w:r w:rsidRPr="00930ECB">
              <w:rPr>
                <w:rFonts w:ascii="PTSans" w:hAnsi="PTSans"/>
                <w:bCs/>
                <w:i/>
                <w:color w:val="001136"/>
                <w:sz w:val="32"/>
                <w:lang w:eastAsia="fr-FR"/>
              </w:rPr>
              <w:t>Il est toujours nécessaire sur un clapet compensé</w:t>
            </w:r>
            <w:r w:rsidRPr="00930ECB">
              <w:rPr>
                <w:rFonts w:ascii="PTSans" w:hAnsi="PTSans"/>
                <w:bCs/>
                <w:color w:val="001136"/>
                <w:sz w:val="32"/>
                <w:szCs w:val="32"/>
                <w:lang w:eastAsia="fr-FR"/>
              </w:rPr>
              <w:t>)</w:t>
            </w:r>
          </w:p>
          <w:p w:rsidR="00930ECB" w:rsidRPr="00930ECB" w:rsidRDefault="00930ECB" w:rsidP="00930ECB">
            <w:pPr>
              <w:outlineLvl w:val="2"/>
              <w:rPr>
                <w:rFonts w:ascii="PTSans" w:hAnsi="PTSans"/>
                <w:b w:val="0"/>
                <w:color w:val="006FB7"/>
                <w:szCs w:val="44"/>
                <w:lang w:eastAsia="fr-FR"/>
              </w:rPr>
            </w:pPr>
            <w:r w:rsidRPr="00930ECB">
              <w:rPr>
                <w:rFonts w:ascii="PTSans" w:hAnsi="PTSans"/>
                <w:b w:val="0"/>
                <w:color w:val="006FB7"/>
                <w:szCs w:val="44"/>
                <w:lang w:eastAsia="fr-FR"/>
              </w:rPr>
              <w:t>Inconvénients :</w:t>
            </w:r>
          </w:p>
          <w:p w:rsidR="00930ECB" w:rsidRPr="00930ECB" w:rsidRDefault="00930ECB" w:rsidP="00930ECB">
            <w:pPr>
              <w:outlineLvl w:val="3"/>
              <w:rPr>
                <w:rFonts w:ascii="PTSans" w:hAnsi="PTSans"/>
                <w:bCs/>
                <w:color w:val="001136"/>
                <w:sz w:val="32"/>
                <w:szCs w:val="32"/>
                <w:lang w:eastAsia="fr-FR"/>
              </w:rPr>
            </w:pPr>
            <w:r w:rsidRPr="00930ECB">
              <w:rPr>
                <w:rFonts w:ascii="PTSans" w:hAnsi="PTSans"/>
                <w:bCs/>
                <w:color w:val="001136"/>
                <w:sz w:val="32"/>
                <w:szCs w:val="32"/>
                <w:lang w:eastAsia="fr-FR"/>
              </w:rPr>
              <w:t>- La présence du joint torique entraîne la nécessité de pièces d’une grande finition.</w:t>
            </w:r>
          </w:p>
          <w:p w:rsidR="00930ECB" w:rsidRPr="00930ECB" w:rsidRDefault="00930ECB" w:rsidP="00930ECB">
            <w:pPr>
              <w:rPr>
                <w:rFonts w:ascii="Helvetica Neue" w:hAnsi="Helvetica Neue"/>
                <w:b w:val="0"/>
                <w:color w:val="333333"/>
                <w:sz w:val="26"/>
                <w:szCs w:val="26"/>
                <w:lang w:eastAsia="fr-FR"/>
              </w:rPr>
            </w:pPr>
            <w:r w:rsidRPr="00930ECB">
              <w:rPr>
                <w:rFonts w:ascii="Helvetica Neue" w:hAnsi="Helvetica Neue"/>
                <w:b w:val="0"/>
                <w:color w:val="333333"/>
                <w:sz w:val="26"/>
                <w:szCs w:val="26"/>
                <w:lang w:eastAsia="fr-FR"/>
              </w:rPr>
              <w:t> </w:t>
            </w:r>
          </w:p>
        </w:tc>
        <w:tc>
          <w:tcPr>
            <w:tcW w:w="0" w:type="auto"/>
            <w:shd w:val="clear" w:color="auto" w:fill="FFFFFF"/>
            <w:tcMar>
              <w:top w:w="0" w:type="dxa"/>
              <w:left w:w="0" w:type="dxa"/>
              <w:bottom w:w="0" w:type="dxa"/>
              <w:right w:w="0" w:type="dxa"/>
            </w:tcMar>
            <w:vAlign w:val="center"/>
          </w:tcPr>
          <w:p w:rsidR="00930ECB" w:rsidRPr="00930ECB" w:rsidRDefault="00930ECB" w:rsidP="00930ECB">
            <w:pPr>
              <w:rPr>
                <w:rFonts w:ascii="Helvetica Neue" w:hAnsi="Helvetica Neue"/>
                <w:b w:val="0"/>
                <w:color w:val="333333"/>
                <w:sz w:val="26"/>
                <w:szCs w:val="26"/>
                <w:lang w:eastAsia="fr-FR"/>
              </w:rPr>
            </w:pPr>
            <w:r w:rsidRPr="00930ECB">
              <w:rPr>
                <w:rFonts w:ascii="Helvetica Neue" w:hAnsi="Helvetica Neue"/>
                <w:b w:val="0"/>
                <w:color w:val="333333"/>
                <w:sz w:val="26"/>
                <w:szCs w:val="26"/>
                <w:lang w:eastAsia="fr-FR"/>
              </w:rPr>
              <w:t> </w:t>
            </w:r>
            <w:r w:rsidRPr="00930ECB">
              <w:rPr>
                <w:rFonts w:ascii="Helvetica Neue" w:hAnsi="Helvetica Neue"/>
                <w:b w:val="0"/>
                <w:color w:val="333333"/>
                <w:sz w:val="26"/>
                <w:szCs w:val="26"/>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p>
        </w:tc>
      </w:tr>
    </w:tbl>
    <w:p w:rsidR="00930ECB" w:rsidRPr="00930ECB" w:rsidRDefault="00930ECB" w:rsidP="00930ECB">
      <w:pPr>
        <w:shd w:val="clear" w:color="auto" w:fill="FFFFFF"/>
        <w:outlineLvl w:val="2"/>
        <w:rPr>
          <w:rFonts w:ascii="PTSans" w:hAnsi="PTSans"/>
          <w:b w:val="0"/>
          <w:color w:val="006FB7"/>
          <w:sz w:val="34"/>
          <w:szCs w:val="34"/>
          <w:lang w:eastAsia="fr-FR"/>
        </w:rPr>
      </w:pPr>
      <w:r w:rsidRPr="00930ECB">
        <w:rPr>
          <w:rFonts w:ascii="PTSans" w:hAnsi="PTSans"/>
          <w:b w:val="0"/>
          <w:color w:val="006FB7"/>
          <w:sz w:val="34"/>
          <w:szCs w:val="34"/>
          <w:lang w:eastAsia="fr-FR"/>
        </w:rPr>
        <w:t>Questions / Réponses</w:t>
      </w:r>
    </w:p>
    <w:p w:rsidR="00930ECB" w:rsidRPr="00930ECB" w:rsidRDefault="00930ECB" w:rsidP="00930ECB">
      <w:pPr>
        <w:shd w:val="clear" w:color="auto" w:fill="FFFFFF"/>
        <w:outlineLvl w:val="3"/>
        <w:rPr>
          <w:rFonts w:ascii="PTSans" w:hAnsi="PTSans"/>
          <w:bCs/>
          <w:color w:val="001136"/>
          <w:sz w:val="25"/>
          <w:szCs w:val="25"/>
          <w:lang w:eastAsia="fr-FR"/>
        </w:rPr>
      </w:pPr>
      <w:r w:rsidRPr="00930ECB">
        <w:rPr>
          <w:rFonts w:ascii="PTSans" w:hAnsi="PTSans"/>
          <w:bCs/>
          <w:color w:val="001136"/>
          <w:sz w:val="25"/>
          <w:szCs w:val="25"/>
          <w:lang w:eastAsia="fr-FR"/>
        </w:rPr>
        <w:t>- Quelles sont les forces en présence à l'équilibre ?</w:t>
      </w:r>
      <w:r w:rsidRPr="00930ECB">
        <w:rPr>
          <w:rFonts w:ascii="PTSans" w:hAnsi="PTSans"/>
          <w:bCs/>
          <w:color w:val="001136"/>
          <w:sz w:val="25"/>
          <w:szCs w:val="25"/>
          <w:lang w:eastAsia="fr-FR"/>
        </w:rPr>
        <w:br/>
      </w:r>
      <w:r w:rsidRPr="00930ECB">
        <w:rPr>
          <w:rFonts w:ascii="PTSans" w:hAnsi="PTSans"/>
          <w:bCs/>
          <w:i/>
          <w:color w:val="001136"/>
          <w:sz w:val="25"/>
          <w:lang w:eastAsia="fr-FR"/>
        </w:rPr>
        <w:t>Les forces dues à la pression intermédiaire (Pi) (6) sur le clapet (7) s’annulent.</w:t>
      </w:r>
      <w:r w:rsidRPr="00930ECB">
        <w:rPr>
          <w:rFonts w:ascii="PTSans" w:hAnsi="PTSans"/>
          <w:bCs/>
          <w:i/>
          <w:color w:val="001136"/>
          <w:sz w:val="25"/>
          <w:szCs w:val="25"/>
          <w:lang w:eastAsia="fr-FR"/>
        </w:rPr>
        <w:br/>
      </w:r>
      <w:r w:rsidRPr="00930ECB">
        <w:rPr>
          <w:rFonts w:ascii="PTSans" w:hAnsi="PTSans"/>
          <w:bCs/>
          <w:i/>
          <w:color w:val="001136"/>
          <w:sz w:val="25"/>
          <w:lang w:eastAsia="fr-FR"/>
        </w:rPr>
        <w:t>Celles qui tendent à fermer le clapet :</w:t>
      </w:r>
      <w:r w:rsidRPr="00930ECB">
        <w:rPr>
          <w:rFonts w:ascii="PTSans" w:hAnsi="PTSans"/>
          <w:bCs/>
          <w:i/>
          <w:color w:val="001136"/>
          <w:sz w:val="25"/>
          <w:szCs w:val="25"/>
          <w:lang w:eastAsia="fr-FR"/>
        </w:rPr>
        <w:br/>
      </w:r>
      <w:r w:rsidRPr="00930ECB">
        <w:rPr>
          <w:rFonts w:ascii="PTSans" w:hAnsi="PTSans"/>
          <w:bCs/>
          <w:i/>
          <w:color w:val="001136"/>
          <w:sz w:val="25"/>
          <w:lang w:eastAsia="fr-FR"/>
        </w:rPr>
        <w:t>- Force du ressort (10) de rappel.</w:t>
      </w:r>
      <w:r w:rsidRPr="00930ECB">
        <w:rPr>
          <w:rFonts w:ascii="PTSans" w:hAnsi="PTSans"/>
          <w:bCs/>
          <w:i/>
          <w:color w:val="001136"/>
          <w:sz w:val="25"/>
          <w:szCs w:val="25"/>
          <w:lang w:eastAsia="fr-FR"/>
        </w:rPr>
        <w:br/>
      </w:r>
      <w:r w:rsidRPr="00930ECB">
        <w:rPr>
          <w:rFonts w:ascii="PTSans" w:hAnsi="PTSans"/>
          <w:bCs/>
          <w:i/>
          <w:color w:val="001136"/>
          <w:sz w:val="25"/>
          <w:lang w:eastAsia="fr-FR"/>
        </w:rPr>
        <w:t>Celles qui tendent  à ouvrir le clapet : </w:t>
      </w:r>
      <w:r w:rsidRPr="00930ECB">
        <w:rPr>
          <w:rFonts w:ascii="PTSans" w:hAnsi="PTSans"/>
          <w:bCs/>
          <w:i/>
          <w:color w:val="001136"/>
          <w:sz w:val="25"/>
          <w:szCs w:val="25"/>
          <w:lang w:eastAsia="fr-FR"/>
        </w:rPr>
        <w:br/>
      </w:r>
      <w:r w:rsidRPr="00930ECB">
        <w:rPr>
          <w:rFonts w:ascii="PTSans" w:hAnsi="PTSans"/>
          <w:bCs/>
          <w:i/>
          <w:color w:val="001136"/>
          <w:sz w:val="25"/>
          <w:lang w:eastAsia="fr-FR"/>
        </w:rPr>
        <w:t>- Force due aux variations de pression sur la surface de la membrane multipliée par le rapport K du levier.</w:t>
      </w:r>
      <w:r w:rsidRPr="00930ECB">
        <w:rPr>
          <w:rFonts w:ascii="PTSans" w:hAnsi="PTSans"/>
          <w:bCs/>
          <w:color w:val="001136"/>
          <w:sz w:val="25"/>
          <w:szCs w:val="25"/>
          <w:lang w:eastAsia="fr-FR"/>
        </w:rPr>
        <w:br/>
        <w:t>- Que se passe t-il lorsqu’il y a une fuite au 1</w:t>
      </w:r>
      <w:r w:rsidRPr="00930ECB">
        <w:rPr>
          <w:rFonts w:ascii="PTSans" w:hAnsi="PTSans"/>
          <w:bCs/>
          <w:color w:val="001136"/>
          <w:sz w:val="24"/>
          <w:vertAlign w:val="superscript"/>
          <w:lang w:eastAsia="fr-FR"/>
        </w:rPr>
        <w:t>er</w:t>
      </w:r>
      <w:r w:rsidRPr="00930ECB">
        <w:rPr>
          <w:rFonts w:ascii="PTSans" w:hAnsi="PTSans"/>
          <w:bCs/>
          <w:color w:val="001136"/>
          <w:sz w:val="25"/>
          <w:lang w:eastAsia="fr-FR"/>
        </w:rPr>
        <w:t> </w:t>
      </w:r>
      <w:r w:rsidRPr="00930ECB">
        <w:rPr>
          <w:rFonts w:ascii="PTSans" w:hAnsi="PTSans"/>
          <w:bCs/>
          <w:color w:val="001136"/>
          <w:sz w:val="25"/>
          <w:szCs w:val="25"/>
          <w:lang w:eastAsia="fr-FR"/>
        </w:rPr>
        <w:t>étage ?</w:t>
      </w:r>
      <w:r w:rsidRPr="00930ECB">
        <w:rPr>
          <w:rFonts w:ascii="PTSans" w:hAnsi="PTSans"/>
          <w:bCs/>
          <w:color w:val="001136"/>
          <w:sz w:val="25"/>
          <w:szCs w:val="25"/>
          <w:lang w:eastAsia="fr-FR"/>
        </w:rPr>
        <w:br/>
      </w:r>
      <w:r w:rsidRPr="00930ECB">
        <w:rPr>
          <w:rFonts w:ascii="PTSans" w:hAnsi="PTSans"/>
          <w:bCs/>
          <w:i/>
          <w:color w:val="001136"/>
          <w:sz w:val="25"/>
          <w:lang w:eastAsia="fr-FR"/>
        </w:rPr>
        <w:t>La Pi augmente mais une légère sous-compensation du clapet protège le tuyau.</w:t>
      </w:r>
      <w:r w:rsidRPr="00930ECB">
        <w:rPr>
          <w:rFonts w:ascii="PTSans" w:hAnsi="PTSans"/>
          <w:bCs/>
          <w:i/>
          <w:color w:val="001136"/>
          <w:sz w:val="25"/>
          <w:szCs w:val="25"/>
          <w:lang w:eastAsia="fr-FR"/>
        </w:rPr>
        <w:br/>
      </w:r>
      <w:r w:rsidRPr="00930ECB">
        <w:rPr>
          <w:rFonts w:ascii="PTSans" w:hAnsi="PTSans"/>
          <w:bCs/>
          <w:i/>
          <w:color w:val="001136"/>
          <w:sz w:val="25"/>
          <w:lang w:eastAsia="fr-FR"/>
        </w:rPr>
        <w:t>(La normalisation impose que le tuyau supporte une pression 4 fois supérieure à celle de la MP)</w:t>
      </w:r>
    </w:p>
    <w:p w:rsidR="00930ECB" w:rsidRPr="00930ECB" w:rsidRDefault="00930ECB" w:rsidP="00930ECB">
      <w:pPr>
        <w:shd w:val="clear" w:color="auto" w:fill="FFFFFF"/>
        <w:outlineLvl w:val="2"/>
        <w:rPr>
          <w:rFonts w:ascii="PTSans" w:hAnsi="PTSans"/>
          <w:b w:val="0"/>
          <w:color w:val="006FB7"/>
          <w:sz w:val="34"/>
          <w:szCs w:val="34"/>
          <w:lang w:eastAsia="fr-FR"/>
        </w:rPr>
      </w:pPr>
      <w:r w:rsidRPr="00930ECB">
        <w:rPr>
          <w:rFonts w:ascii="PTSans" w:hAnsi="PTSans"/>
          <w:b w:val="0"/>
          <w:color w:val="006FB7"/>
          <w:sz w:val="34"/>
          <w:szCs w:val="34"/>
          <w:lang w:eastAsia="fr-FR"/>
        </w:rPr>
        <w:t>Les Planches :</w:t>
      </w:r>
      <w:r w:rsidRPr="00930ECB">
        <w:rPr>
          <w:rFonts w:ascii="PTSans" w:hAnsi="PTSans"/>
          <w:b w:val="0"/>
          <w:color w:val="006FB7"/>
          <w:sz w:val="34"/>
          <w:lang w:eastAsia="fr-FR"/>
        </w:rPr>
        <w:t> </w:t>
      </w:r>
    </w:p>
    <w:tbl>
      <w:tblPr>
        <w:tblW w:w="0" w:type="auto"/>
        <w:shd w:val="clear" w:color="auto" w:fill="FFFFFF"/>
        <w:tblCellMar>
          <w:top w:w="15" w:type="dxa"/>
          <w:left w:w="15" w:type="dxa"/>
          <w:bottom w:w="15" w:type="dxa"/>
          <w:right w:w="15" w:type="dxa"/>
        </w:tblCellMar>
        <w:tblLook w:val="0000"/>
      </w:tblPr>
      <w:tblGrid>
        <w:gridCol w:w="8586"/>
        <w:gridCol w:w="480"/>
      </w:tblGrid>
      <w:tr w:rsidR="00930ECB" w:rsidRPr="00930ECB" w:rsidTr="00930ECB">
        <w:tc>
          <w:tcPr>
            <w:tcW w:w="0" w:type="auto"/>
            <w:shd w:val="clear" w:color="auto" w:fill="FFFFFF"/>
            <w:tcMar>
              <w:top w:w="0" w:type="dxa"/>
              <w:left w:w="0" w:type="dxa"/>
              <w:bottom w:w="0" w:type="dxa"/>
              <w:right w:w="0" w:type="dxa"/>
            </w:tcMar>
            <w:vAlign w:val="center"/>
          </w:tcPr>
          <w:p w:rsidR="00000000" w:rsidRPr="00930ECB" w:rsidRDefault="00930ECB" w:rsidP="00930ECB">
            <w:pPr>
              <w:outlineLvl w:val="2"/>
              <w:rPr>
                <w:rFonts w:ascii="PTSans" w:hAnsi="PTSans"/>
                <w:b w:val="0"/>
                <w:color w:val="006FB7"/>
                <w:szCs w:val="44"/>
                <w:lang w:eastAsia="fr-FR"/>
              </w:rPr>
            </w:pPr>
            <w:r w:rsidRPr="00930ECB">
              <w:rPr>
                <w:rFonts w:ascii="PTSans" w:hAnsi="PTSans"/>
                <w:b w:val="0"/>
                <w:color w:val="006FB7"/>
                <w:szCs w:val="44"/>
                <w:lang w:eastAsia="fr-FR"/>
              </w:rPr>
              <w:t>Fiche 08 - Deuxième étage – Compensé (Annoté)</w:t>
            </w:r>
          </w:p>
        </w:tc>
        <w:tc>
          <w:tcPr>
            <w:tcW w:w="0" w:type="auto"/>
            <w:shd w:val="clear" w:color="auto" w:fill="FFFFFF"/>
            <w:tcMar>
              <w:top w:w="0" w:type="dxa"/>
              <w:left w:w="0" w:type="dxa"/>
              <w:bottom w:w="0" w:type="dxa"/>
              <w:right w:w="0" w:type="dxa"/>
            </w:tcMar>
            <w:vAlign w:val="center"/>
          </w:tcPr>
          <w:p w:rsidR="00930ECB" w:rsidRPr="00930ECB" w:rsidRDefault="00930ECB" w:rsidP="00930ECB">
            <w:pPr>
              <w:rPr>
                <w:rFonts w:ascii="Helvetica Neue" w:hAnsi="Helvetica Neue"/>
                <w:b w:val="0"/>
                <w:color w:val="333333"/>
                <w:sz w:val="26"/>
                <w:szCs w:val="26"/>
                <w:lang w:eastAsia="fr-FR"/>
              </w:rPr>
            </w:pPr>
            <w:hyperlink r:id="rId4" w:history="1">
              <w:r w:rsidRPr="00930ECB">
                <w:rPr>
                  <w:rFonts w:ascii="PTSans" w:hAnsi="PTSans"/>
                  <w:b w:val="0"/>
                  <w:color w:val="337AB7"/>
                  <w:sz w:val="26"/>
                  <w:szCs w:val="26"/>
                  <w:lang w:eastAsia="fr-FR"/>
                </w:rPr>
                <w:pict>
                  <v:shape id="_x0000_i1026" type="#_x0000_t75" alt="" href="https://www.cibpl.fr/wpFichiers/1/1/Ressources/File/PLONGEE-SOUS-MARINE/APPROFONDIR/NIVEAU-4/Materiel/08 Deuxieme %C3%A9tage An - Compens%C3%A9.pdf" style="width:24pt;height:24pt" o:button="t"/>
                </w:pict>
              </w:r>
            </w:hyperlink>
          </w:p>
        </w:tc>
      </w:tr>
      <w:tr w:rsidR="00930ECB" w:rsidRPr="00930ECB" w:rsidTr="00930ECB">
        <w:tc>
          <w:tcPr>
            <w:tcW w:w="0" w:type="auto"/>
            <w:shd w:val="clear" w:color="auto" w:fill="FFFFFF"/>
            <w:tcMar>
              <w:top w:w="0" w:type="dxa"/>
              <w:left w:w="0" w:type="dxa"/>
              <w:bottom w:w="0" w:type="dxa"/>
              <w:right w:w="0" w:type="dxa"/>
            </w:tcMar>
            <w:vAlign w:val="center"/>
          </w:tcPr>
          <w:p w:rsidR="00000000" w:rsidRPr="00930ECB" w:rsidRDefault="00930ECB" w:rsidP="00930ECB">
            <w:pPr>
              <w:outlineLvl w:val="2"/>
              <w:rPr>
                <w:rFonts w:ascii="PTSans" w:hAnsi="PTSans"/>
                <w:b w:val="0"/>
                <w:color w:val="006FB7"/>
                <w:szCs w:val="44"/>
                <w:lang w:eastAsia="fr-FR"/>
              </w:rPr>
            </w:pPr>
            <w:r w:rsidRPr="00930ECB">
              <w:rPr>
                <w:rFonts w:ascii="PTSans" w:hAnsi="PTSans"/>
                <w:b w:val="0"/>
                <w:color w:val="006FB7"/>
                <w:szCs w:val="44"/>
                <w:lang w:eastAsia="fr-FR"/>
              </w:rPr>
              <w:t>Fiche 08 - Deuxième étage – Compensé (Non Annoté)</w:t>
            </w:r>
          </w:p>
        </w:tc>
        <w:tc>
          <w:tcPr>
            <w:tcW w:w="0" w:type="auto"/>
            <w:shd w:val="clear" w:color="auto" w:fill="FFFFFF"/>
            <w:tcMar>
              <w:top w:w="0" w:type="dxa"/>
              <w:left w:w="0" w:type="dxa"/>
              <w:bottom w:w="0" w:type="dxa"/>
              <w:right w:w="0" w:type="dxa"/>
            </w:tcMar>
            <w:vAlign w:val="center"/>
          </w:tcPr>
          <w:p w:rsidR="00930ECB" w:rsidRPr="00930ECB" w:rsidRDefault="00930ECB" w:rsidP="00930ECB">
            <w:pPr>
              <w:rPr>
                <w:rFonts w:ascii="Helvetica Neue" w:hAnsi="Helvetica Neue"/>
                <w:b w:val="0"/>
                <w:color w:val="333333"/>
                <w:sz w:val="26"/>
                <w:szCs w:val="26"/>
                <w:lang w:eastAsia="fr-FR"/>
              </w:rPr>
            </w:pPr>
            <w:hyperlink r:id="rId5" w:history="1">
              <w:r w:rsidRPr="00930ECB">
                <w:rPr>
                  <w:rFonts w:ascii="PTSans" w:hAnsi="PTSans"/>
                  <w:b w:val="0"/>
                  <w:color w:val="337AB7"/>
                  <w:sz w:val="26"/>
                  <w:szCs w:val="26"/>
                  <w:lang w:eastAsia="fr-FR"/>
                </w:rPr>
                <w:pict>
                  <v:shape id="_x0000_i1027" type="#_x0000_t75" alt="" href="https://www.cibpl.fr/wpFichiers/1/1/Ressources/File/PLONGEE-SOUS-MARINE/APPROFONDIR/NIVEAU-4/Materiel/08 Deuxieme %C3%A9tage Na - Compens%C3%A9.pdf" style="width:24pt;height:24pt" o:button="t"/>
                </w:pict>
              </w:r>
            </w:hyperlink>
          </w:p>
        </w:tc>
      </w:tr>
    </w:tbl>
    <w:p w:rsidR="00444E32" w:rsidRDefault="00930ECB"/>
    <w:sectPr w:rsidR="00444E32" w:rsidSect="00642829">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venir Oblique">
    <w:panose1 w:val="020B0503020203090204"/>
    <w:charset w:val="00"/>
    <w:family w:val="auto"/>
    <w:pitch w:val="variable"/>
    <w:sig w:usb0="00000003" w:usb1="00000000" w:usb2="00000000" w:usb3="00000000" w:csb0="00000001" w:csb1="00000000"/>
  </w:font>
  <w:font w:name="Times">
    <w:altName w:val="Times Roman"/>
    <w:panose1 w:val="02000500000000000000"/>
    <w:charset w:val="4D"/>
    <w:family w:val="roman"/>
    <w:notTrueType/>
    <w:pitch w:val="variable"/>
    <w:sig w:usb0="00000003" w:usb1="00000000" w:usb2="00000000" w:usb3="00000000" w:csb0="00000001" w:csb1="00000000"/>
  </w:font>
  <w:font w:name="PTSans">
    <w:altName w:val="Avenir Oblique"/>
    <w:panose1 w:val="00000000000000000000"/>
    <w:charset w:val="4D"/>
    <w:family w:val="roman"/>
    <w:notTrueType/>
    <w:pitch w:val="default"/>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30ECB"/>
    <w:rsid w:val="00930ECB"/>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E32"/>
    <w:rPr>
      <w:rFonts w:ascii="Avenir Oblique" w:hAnsi="Avenir Oblique"/>
      <w:b/>
      <w:color w:val="000000"/>
      <w:sz w:val="44"/>
    </w:rPr>
  </w:style>
  <w:style w:type="paragraph" w:styleId="Titre2">
    <w:name w:val="heading 2"/>
    <w:basedOn w:val="Normal"/>
    <w:link w:val="Titre2Car"/>
    <w:uiPriority w:val="9"/>
    <w:rsid w:val="00930ECB"/>
    <w:pPr>
      <w:spacing w:beforeLines="1" w:afterLines="1"/>
      <w:outlineLvl w:val="1"/>
    </w:pPr>
    <w:rPr>
      <w:rFonts w:ascii="Times" w:hAnsi="Times"/>
      <w:color w:val="auto"/>
      <w:sz w:val="36"/>
      <w:szCs w:val="20"/>
      <w:lang w:eastAsia="fr-FR"/>
    </w:rPr>
  </w:style>
  <w:style w:type="paragraph" w:styleId="Titre3">
    <w:name w:val="heading 3"/>
    <w:basedOn w:val="Normal"/>
    <w:link w:val="Titre3Car"/>
    <w:uiPriority w:val="9"/>
    <w:rsid w:val="00930ECB"/>
    <w:pPr>
      <w:spacing w:beforeLines="1" w:afterLines="1"/>
      <w:outlineLvl w:val="2"/>
    </w:pPr>
    <w:rPr>
      <w:rFonts w:ascii="Times" w:hAnsi="Times"/>
      <w:color w:val="auto"/>
      <w:sz w:val="27"/>
      <w:szCs w:val="20"/>
      <w:lang w:eastAsia="fr-FR"/>
    </w:rPr>
  </w:style>
  <w:style w:type="paragraph" w:styleId="Titre4">
    <w:name w:val="heading 4"/>
    <w:basedOn w:val="Normal"/>
    <w:link w:val="Titre4Car"/>
    <w:uiPriority w:val="9"/>
    <w:rsid w:val="00930ECB"/>
    <w:pPr>
      <w:spacing w:beforeLines="1" w:afterLines="1"/>
      <w:outlineLvl w:val="3"/>
    </w:pPr>
    <w:rPr>
      <w:rFonts w:ascii="Times" w:hAnsi="Times"/>
      <w:color w:val="auto"/>
      <w:sz w:val="24"/>
      <w:szCs w:val="20"/>
      <w:lang w:eastAsia="fr-FR"/>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Titre2Car">
    <w:name w:val="Titre 2 Car"/>
    <w:basedOn w:val="Policepardfaut"/>
    <w:link w:val="Titre2"/>
    <w:uiPriority w:val="9"/>
    <w:rsid w:val="00930ECB"/>
    <w:rPr>
      <w:rFonts w:ascii="Times" w:hAnsi="Times"/>
      <w:b/>
      <w:sz w:val="36"/>
      <w:szCs w:val="20"/>
      <w:lang w:eastAsia="fr-FR"/>
    </w:rPr>
  </w:style>
  <w:style w:type="character" w:customStyle="1" w:styleId="Titre3Car">
    <w:name w:val="Titre 3 Car"/>
    <w:basedOn w:val="Policepardfaut"/>
    <w:link w:val="Titre3"/>
    <w:uiPriority w:val="9"/>
    <w:rsid w:val="00930ECB"/>
    <w:rPr>
      <w:rFonts w:ascii="Times" w:hAnsi="Times"/>
      <w:b/>
      <w:sz w:val="27"/>
      <w:szCs w:val="20"/>
      <w:lang w:eastAsia="fr-FR"/>
    </w:rPr>
  </w:style>
  <w:style w:type="character" w:customStyle="1" w:styleId="Titre4Car">
    <w:name w:val="Titre 4 Car"/>
    <w:basedOn w:val="Policepardfaut"/>
    <w:link w:val="Titre4"/>
    <w:uiPriority w:val="9"/>
    <w:rsid w:val="00930ECB"/>
    <w:rPr>
      <w:rFonts w:ascii="Times" w:hAnsi="Times"/>
      <w:b/>
      <w:szCs w:val="20"/>
      <w:lang w:eastAsia="fr-FR"/>
    </w:rPr>
  </w:style>
  <w:style w:type="character" w:styleId="Accentuation">
    <w:name w:val="Emphasis"/>
    <w:basedOn w:val="Policepardfaut"/>
    <w:uiPriority w:val="20"/>
    <w:rsid w:val="00930ECB"/>
    <w:rPr>
      <w:i/>
    </w:rPr>
  </w:style>
  <w:style w:type="character" w:customStyle="1" w:styleId="apple-converted-space">
    <w:name w:val="apple-converted-space"/>
    <w:basedOn w:val="Policepardfaut"/>
    <w:rsid w:val="00930ECB"/>
  </w:style>
</w:styles>
</file>

<file path=word/webSettings.xml><?xml version="1.0" encoding="utf-8"?>
<w:webSettings xmlns:r="http://schemas.openxmlformats.org/officeDocument/2006/relationships" xmlns:w="http://schemas.openxmlformats.org/wordprocessingml/2006/main">
  <w:divs>
    <w:div w:id="5840006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cibpl.fr/wpFichiers/1/1/Ressources/File/PLONGEE-SOUS-MARINE/APPROFONDIR/NIVEAU-4/Materiel/08%20Deuxieme%20%C3%A9tage%20An%20-%20Compens%C3%A9.pdf" TargetMode="External"/><Relationship Id="rId5" Type="http://schemas.openxmlformats.org/officeDocument/2006/relationships/hyperlink" Target="https://www.cibpl.fr/wpFichiers/1/1/Ressources/File/PLONGEE-SOUS-MARINE/APPROFONDIR/NIVEAU-4/Materiel/08%20Deuxieme%20%C3%A9tage%20Na%20-%20Compens%C3%A9.pdf"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2360</Characters>
  <Application>Microsoft Macintosh Word</Application>
  <DocSecurity>0</DocSecurity>
  <Lines>19</Lines>
  <Paragraphs>4</Paragraphs>
  <ScaleCrop>false</ScaleCrop>
  <LinksUpToDate>false</LinksUpToDate>
  <CharactersWithSpaces>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cieszkowski</dc:creator>
  <cp:keywords/>
  <cp:lastModifiedBy>david cieszkowski</cp:lastModifiedBy>
  <cp:revision>1</cp:revision>
  <dcterms:created xsi:type="dcterms:W3CDTF">2019-03-30T21:24:00Z</dcterms:created>
  <dcterms:modified xsi:type="dcterms:W3CDTF">2019-03-30T21:24:00Z</dcterms:modified>
</cp:coreProperties>
</file>