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2B2" w:rsidRPr="00DF72B2" w:rsidRDefault="00DF72B2" w:rsidP="00DF72B2">
      <w:pPr>
        <w:shd w:val="clear" w:color="auto" w:fill="FFFFFF"/>
        <w:outlineLvl w:val="1"/>
        <w:rPr>
          <w:rFonts w:ascii="PTSans" w:hAnsi="PTSans"/>
          <w:bCs/>
          <w:color w:val="006FB7"/>
          <w:sz w:val="43"/>
          <w:szCs w:val="43"/>
          <w:lang w:eastAsia="fr-FR"/>
        </w:rPr>
      </w:pPr>
      <w:r w:rsidRPr="00DF72B2">
        <w:rPr>
          <w:rFonts w:ascii="PTSans" w:hAnsi="PTSans"/>
          <w:bCs/>
          <w:color w:val="006FB7"/>
          <w:sz w:val="43"/>
          <w:szCs w:val="43"/>
          <w:lang w:eastAsia="fr-FR"/>
        </w:rPr>
        <w:t>Fiche 10 - Réglage de l'effet Venturi</w:t>
      </w:r>
    </w:p>
    <w:tbl>
      <w:tblPr>
        <w:tblW w:w="0" w:type="auto"/>
        <w:shd w:val="clear" w:color="auto" w:fill="FFFFFF"/>
        <w:tblCellMar>
          <w:top w:w="15" w:type="dxa"/>
          <w:left w:w="15" w:type="dxa"/>
          <w:bottom w:w="15" w:type="dxa"/>
          <w:right w:w="15" w:type="dxa"/>
        </w:tblCellMar>
        <w:tblLook w:val="0000"/>
      </w:tblPr>
      <w:tblGrid>
        <w:gridCol w:w="8514"/>
        <w:gridCol w:w="552"/>
      </w:tblGrid>
      <w:tr w:rsidR="00DF72B2" w:rsidRPr="00DF72B2" w:rsidTr="00DF72B2">
        <w:tc>
          <w:tcPr>
            <w:tcW w:w="0" w:type="auto"/>
            <w:shd w:val="clear" w:color="auto" w:fill="FFFFFF"/>
            <w:tcMar>
              <w:top w:w="0" w:type="dxa"/>
              <w:left w:w="0" w:type="dxa"/>
              <w:bottom w:w="0" w:type="dxa"/>
              <w:right w:w="0" w:type="dxa"/>
            </w:tcMar>
            <w:vAlign w:val="center"/>
          </w:tcPr>
          <w:p w:rsidR="00DF72B2" w:rsidRPr="00DF72B2" w:rsidRDefault="00DF72B2" w:rsidP="00DF72B2">
            <w:pPr>
              <w:outlineLvl w:val="2"/>
              <w:rPr>
                <w:rFonts w:ascii="PTSans" w:hAnsi="PTSans"/>
                <w:b w:val="0"/>
                <w:color w:val="006FB7"/>
                <w:szCs w:val="44"/>
                <w:lang w:eastAsia="fr-FR"/>
              </w:rPr>
            </w:pPr>
            <w:r w:rsidRPr="00DF72B2">
              <w:rPr>
                <w:rFonts w:ascii="PTSans" w:hAnsi="PTSans"/>
                <w:b w:val="0"/>
                <w:color w:val="006FB7"/>
                <w:szCs w:val="44"/>
                <w:lang w:eastAsia="fr-FR"/>
              </w:rPr>
              <w:t>Fonctionnement</w:t>
            </w:r>
          </w:p>
          <w:p w:rsidR="00DF72B2" w:rsidRPr="00DF72B2" w:rsidRDefault="00DF72B2" w:rsidP="00DF72B2">
            <w:pPr>
              <w:outlineLvl w:val="3"/>
              <w:rPr>
                <w:rFonts w:ascii="PTSans" w:hAnsi="PTSans"/>
                <w:bCs/>
                <w:color w:val="001136"/>
                <w:sz w:val="32"/>
                <w:szCs w:val="32"/>
                <w:lang w:eastAsia="fr-FR"/>
              </w:rPr>
            </w:pPr>
            <w:r w:rsidRPr="00DF72B2">
              <w:rPr>
                <w:rFonts w:ascii="PTSans" w:hAnsi="PTSans"/>
                <w:bCs/>
                <w:color w:val="001136"/>
                <w:sz w:val="32"/>
                <w:szCs w:val="32"/>
                <w:lang w:eastAsia="fr-FR"/>
              </w:rPr>
              <w:t>La membrane est aspirée par l’effet Venturi. Cela risque de faire passer le détendeur en débit continu. Pour compenser cet effet une partie du flux d’air de sortie est envoyée sous la membrane.</w:t>
            </w:r>
            <w:r w:rsidRPr="00DF72B2">
              <w:rPr>
                <w:rFonts w:ascii="PTSans" w:hAnsi="PTSans"/>
                <w:bCs/>
                <w:color w:val="001136"/>
                <w:sz w:val="32"/>
                <w:szCs w:val="32"/>
                <w:lang w:eastAsia="fr-FR"/>
              </w:rPr>
              <w:br/>
              <w:t>Un bouton rotatif permet de compenser plus ou moins l’effet Venturi.</w:t>
            </w:r>
          </w:p>
          <w:p w:rsidR="00DF72B2" w:rsidRPr="00DF72B2" w:rsidRDefault="00DF72B2" w:rsidP="00DF72B2">
            <w:pPr>
              <w:outlineLvl w:val="2"/>
              <w:rPr>
                <w:rFonts w:ascii="PTSans" w:hAnsi="PTSans"/>
                <w:b w:val="0"/>
                <w:color w:val="006FB7"/>
                <w:szCs w:val="44"/>
                <w:lang w:eastAsia="fr-FR"/>
              </w:rPr>
            </w:pPr>
            <w:r w:rsidRPr="00DF72B2">
              <w:rPr>
                <w:rFonts w:ascii="PTSans" w:hAnsi="PTSans"/>
                <w:b w:val="0"/>
                <w:color w:val="006FB7"/>
                <w:szCs w:val="44"/>
                <w:lang w:eastAsia="fr-FR"/>
              </w:rPr>
              <w:t>Remarques :</w:t>
            </w:r>
          </w:p>
          <w:p w:rsidR="00DF72B2" w:rsidRPr="00DF72B2" w:rsidRDefault="00DF72B2" w:rsidP="00DF72B2">
            <w:pPr>
              <w:outlineLvl w:val="3"/>
              <w:rPr>
                <w:rFonts w:ascii="PTSans" w:hAnsi="PTSans"/>
                <w:bCs/>
                <w:color w:val="001136"/>
                <w:sz w:val="32"/>
                <w:szCs w:val="32"/>
                <w:lang w:eastAsia="fr-FR"/>
              </w:rPr>
            </w:pPr>
            <w:r w:rsidRPr="00DF72B2">
              <w:rPr>
                <w:rFonts w:ascii="PTSans" w:hAnsi="PTSans"/>
                <w:bCs/>
                <w:color w:val="001136"/>
                <w:sz w:val="32"/>
                <w:szCs w:val="32"/>
                <w:lang w:eastAsia="fr-FR"/>
              </w:rPr>
              <w:t>Il existe d'autres systèmes de contrôle : Tiroir ouvrant ou fermant le trou de compensation- Volet tournant dans le flux d’air sortant - Réglage fixe en usine.</w:t>
            </w:r>
            <w:r w:rsidRPr="00DF72B2">
              <w:rPr>
                <w:rFonts w:ascii="PTSans" w:hAnsi="PTSans"/>
                <w:bCs/>
                <w:color w:val="001136"/>
                <w:sz w:val="32"/>
                <w:szCs w:val="32"/>
                <w:lang w:eastAsia="fr-FR"/>
              </w:rPr>
              <w:br/>
              <w:t>- Compensé au maximum, l'effet Venturi augmente le travail inspiratoire.</w:t>
            </w:r>
            <w:r w:rsidRPr="00DF72B2">
              <w:rPr>
                <w:rFonts w:ascii="PTSans" w:hAnsi="PTSans"/>
                <w:bCs/>
                <w:color w:val="001136"/>
                <w:sz w:val="32"/>
                <w:szCs w:val="32"/>
                <w:lang w:eastAsia="fr-FR"/>
              </w:rPr>
              <w:br/>
              <w:t>- Compensé au minimum, il provoque un débit continu. (Les fabricants limitent volontairement ces possibilités)</w:t>
            </w:r>
          </w:p>
          <w:p w:rsidR="00DF72B2" w:rsidRPr="00DF72B2" w:rsidRDefault="00DF72B2" w:rsidP="00DF72B2">
            <w:pPr>
              <w:outlineLvl w:val="2"/>
              <w:rPr>
                <w:rFonts w:ascii="PTSans" w:hAnsi="PTSans"/>
                <w:b w:val="0"/>
                <w:color w:val="006FB7"/>
                <w:szCs w:val="44"/>
                <w:lang w:eastAsia="fr-FR"/>
              </w:rPr>
            </w:pPr>
            <w:r w:rsidRPr="00DF72B2">
              <w:rPr>
                <w:rFonts w:ascii="PTSans" w:hAnsi="PTSans"/>
                <w:b w:val="0"/>
                <w:color w:val="006FB7"/>
                <w:szCs w:val="44"/>
                <w:lang w:eastAsia="fr-FR"/>
              </w:rPr>
              <w:t>Avantages :</w:t>
            </w:r>
          </w:p>
          <w:p w:rsidR="00DF72B2" w:rsidRPr="00DF72B2" w:rsidRDefault="00DF72B2" w:rsidP="00DF72B2">
            <w:pPr>
              <w:outlineLvl w:val="3"/>
              <w:rPr>
                <w:rFonts w:ascii="PTSans" w:hAnsi="PTSans"/>
                <w:bCs/>
                <w:color w:val="001136"/>
                <w:sz w:val="32"/>
                <w:szCs w:val="32"/>
                <w:lang w:eastAsia="fr-FR"/>
              </w:rPr>
            </w:pPr>
            <w:r w:rsidRPr="00DF72B2">
              <w:rPr>
                <w:rFonts w:ascii="PTSans" w:hAnsi="PTSans"/>
                <w:bCs/>
                <w:color w:val="001136"/>
                <w:sz w:val="32"/>
                <w:szCs w:val="32"/>
                <w:lang w:eastAsia="fr-FR"/>
              </w:rPr>
              <w:t>Ajustable par le plongeur, il permet d’optimiser le travail respiratoire en toutes circonstances.</w:t>
            </w:r>
            <w:r w:rsidRPr="00DF72B2">
              <w:rPr>
                <w:rFonts w:ascii="PTSans" w:hAnsi="PTSans"/>
                <w:bCs/>
                <w:color w:val="001136"/>
                <w:sz w:val="32"/>
                <w:szCs w:val="32"/>
                <w:lang w:eastAsia="fr-FR"/>
              </w:rPr>
              <w:br/>
              <w:t>Le réglage permet de durcir un détendeur de secours pour éviter un débit continu.</w:t>
            </w:r>
          </w:p>
          <w:p w:rsidR="00DF72B2" w:rsidRPr="00DF72B2" w:rsidRDefault="00DF72B2" w:rsidP="00DF72B2">
            <w:pPr>
              <w:outlineLvl w:val="2"/>
              <w:rPr>
                <w:rFonts w:ascii="PTSans" w:hAnsi="PTSans"/>
                <w:b w:val="0"/>
                <w:color w:val="006FB7"/>
                <w:szCs w:val="44"/>
                <w:lang w:eastAsia="fr-FR"/>
              </w:rPr>
            </w:pPr>
            <w:r w:rsidRPr="00DF72B2">
              <w:rPr>
                <w:rFonts w:ascii="PTSans" w:hAnsi="PTSans"/>
                <w:b w:val="0"/>
                <w:color w:val="006FB7"/>
                <w:szCs w:val="44"/>
                <w:lang w:eastAsia="fr-FR"/>
              </w:rPr>
              <w:t>Inconvénients :</w:t>
            </w:r>
          </w:p>
          <w:p w:rsidR="00000000" w:rsidRPr="00DF72B2" w:rsidRDefault="00DF72B2" w:rsidP="00DF72B2">
            <w:pPr>
              <w:outlineLvl w:val="3"/>
              <w:rPr>
                <w:rFonts w:ascii="PTSans" w:hAnsi="PTSans"/>
                <w:bCs/>
                <w:color w:val="001136"/>
                <w:sz w:val="32"/>
                <w:szCs w:val="32"/>
                <w:lang w:eastAsia="fr-FR"/>
              </w:rPr>
            </w:pPr>
            <w:r w:rsidRPr="00DF72B2">
              <w:rPr>
                <w:rFonts w:ascii="PTSans" w:hAnsi="PTSans"/>
                <w:bCs/>
                <w:color w:val="001136"/>
                <w:sz w:val="32"/>
                <w:szCs w:val="32"/>
                <w:lang w:eastAsia="fr-FR"/>
              </w:rPr>
              <w:t>Le réglage en usine n’est pas optimum dans toutes les situations de plongée.</w:t>
            </w:r>
            <w:r w:rsidRPr="00DF72B2">
              <w:rPr>
                <w:rFonts w:ascii="PTSans" w:hAnsi="PTSans"/>
                <w:bCs/>
                <w:color w:val="001136"/>
                <w:sz w:val="32"/>
                <w:lang w:eastAsia="fr-FR"/>
              </w:rPr>
              <w:t> </w:t>
            </w:r>
            <w:r w:rsidRPr="00DF72B2">
              <w:rPr>
                <w:rFonts w:ascii="PTSans" w:hAnsi="PTSans"/>
                <w:bCs/>
                <w:i/>
                <w:color w:val="001136"/>
                <w:sz w:val="32"/>
                <w:lang w:eastAsia="fr-FR"/>
              </w:rPr>
              <w:t>(Ceci est pratiquement abandonné pour le haut de gamme)</w:t>
            </w:r>
          </w:p>
        </w:tc>
        <w:tc>
          <w:tcPr>
            <w:tcW w:w="0" w:type="auto"/>
            <w:shd w:val="clear" w:color="auto" w:fill="FFFFFF"/>
            <w:tcMar>
              <w:top w:w="0" w:type="dxa"/>
              <w:left w:w="0" w:type="dxa"/>
              <w:bottom w:w="0" w:type="dxa"/>
              <w:right w:w="0" w:type="dxa"/>
            </w:tcMar>
            <w:vAlign w:val="center"/>
          </w:tcPr>
          <w:p w:rsidR="00DF72B2" w:rsidRPr="00DF72B2" w:rsidRDefault="00DF72B2" w:rsidP="00DF72B2">
            <w:pPr>
              <w:rPr>
                <w:rFonts w:ascii="Helvetica Neue" w:hAnsi="Helvetica Neue"/>
                <w:b w:val="0"/>
                <w:color w:val="333333"/>
                <w:sz w:val="26"/>
                <w:szCs w:val="26"/>
                <w:lang w:eastAsia="fr-FR"/>
              </w:rPr>
            </w:pPr>
            <w:r w:rsidRPr="00DF72B2">
              <w:rPr>
                <w:rFonts w:ascii="Helvetica Neue" w:hAnsi="Helvetica Neue"/>
                <w:b w:val="0"/>
                <w:color w:val="333333"/>
                <w:sz w:val="26"/>
                <w:szCs w:val="26"/>
                <w:lang w:eastAsia="fr-FR"/>
              </w:rPr>
              <w:t> </w:t>
            </w:r>
            <w:r w:rsidRPr="00DF72B2">
              <w:rPr>
                <w:rFonts w:ascii="Helvetica Neue" w:hAnsi="Helvetica Neue"/>
                <w:b w:val="0"/>
                <w:color w:val="333333"/>
                <w:sz w:val="26"/>
                <w:szCs w:val="26"/>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tc>
      </w:tr>
    </w:tbl>
    <w:p w:rsidR="00DF72B2" w:rsidRPr="00DF72B2" w:rsidRDefault="00DF72B2" w:rsidP="00DF72B2">
      <w:pPr>
        <w:shd w:val="clear" w:color="auto" w:fill="FFFFFF"/>
        <w:outlineLvl w:val="2"/>
        <w:rPr>
          <w:rFonts w:ascii="PTSans" w:hAnsi="PTSans"/>
          <w:b w:val="0"/>
          <w:color w:val="006FB7"/>
          <w:sz w:val="34"/>
          <w:szCs w:val="34"/>
          <w:lang w:eastAsia="fr-FR"/>
        </w:rPr>
      </w:pPr>
      <w:r w:rsidRPr="00DF72B2">
        <w:rPr>
          <w:rFonts w:ascii="PTSans" w:hAnsi="PTSans"/>
          <w:b w:val="0"/>
          <w:color w:val="006FB7"/>
          <w:sz w:val="34"/>
          <w:szCs w:val="34"/>
          <w:lang w:eastAsia="fr-FR"/>
        </w:rPr>
        <w:t>Questions / Réponses</w:t>
      </w:r>
    </w:p>
    <w:p w:rsidR="00DF72B2" w:rsidRPr="00DF72B2" w:rsidRDefault="00DF72B2" w:rsidP="00DF72B2">
      <w:pPr>
        <w:shd w:val="clear" w:color="auto" w:fill="FFFFFF"/>
        <w:outlineLvl w:val="3"/>
        <w:rPr>
          <w:rFonts w:ascii="PTSans" w:hAnsi="PTSans"/>
          <w:bCs/>
          <w:color w:val="001136"/>
          <w:sz w:val="25"/>
          <w:szCs w:val="25"/>
          <w:lang w:eastAsia="fr-FR"/>
        </w:rPr>
      </w:pPr>
      <w:r w:rsidRPr="00DF72B2">
        <w:rPr>
          <w:rFonts w:ascii="PTSans" w:hAnsi="PTSans"/>
          <w:bCs/>
          <w:color w:val="001136"/>
          <w:sz w:val="25"/>
          <w:szCs w:val="25"/>
          <w:lang w:eastAsia="fr-FR"/>
        </w:rPr>
        <w:t>- Pourquoi est-il utile de pouvoir régler l’effet Venturi en plongée.</w:t>
      </w:r>
      <w:r w:rsidRPr="00DF72B2">
        <w:rPr>
          <w:rFonts w:ascii="PTSans" w:hAnsi="PTSans"/>
          <w:bCs/>
          <w:color w:val="001136"/>
          <w:sz w:val="25"/>
          <w:szCs w:val="25"/>
          <w:lang w:eastAsia="fr-FR"/>
        </w:rPr>
        <w:br/>
      </w:r>
      <w:r w:rsidRPr="00DF72B2">
        <w:rPr>
          <w:rFonts w:ascii="PTSans" w:hAnsi="PTSans"/>
          <w:bCs/>
          <w:i/>
          <w:color w:val="001136"/>
          <w:sz w:val="25"/>
          <w:lang w:eastAsia="fr-FR"/>
        </w:rPr>
        <w:t>Parce qu’il varie avec la profondeur.</w:t>
      </w:r>
      <w:r w:rsidRPr="00DF72B2">
        <w:rPr>
          <w:rFonts w:ascii="PTSans" w:hAnsi="PTSans"/>
          <w:bCs/>
          <w:color w:val="001136"/>
          <w:sz w:val="25"/>
          <w:szCs w:val="25"/>
          <w:lang w:eastAsia="fr-FR"/>
        </w:rPr>
        <w:br/>
        <w:t>- Quels sont les avantages du réglage de l'effet Venturi ?</w:t>
      </w:r>
      <w:r w:rsidRPr="00DF72B2">
        <w:rPr>
          <w:rFonts w:ascii="PTSans" w:hAnsi="PTSans"/>
          <w:bCs/>
          <w:color w:val="001136"/>
          <w:sz w:val="25"/>
          <w:szCs w:val="25"/>
          <w:lang w:eastAsia="fr-FR"/>
        </w:rPr>
        <w:br/>
      </w:r>
      <w:r w:rsidRPr="00DF72B2">
        <w:rPr>
          <w:rFonts w:ascii="PTSans" w:hAnsi="PTSans"/>
          <w:bCs/>
          <w:i/>
          <w:color w:val="001136"/>
          <w:sz w:val="25"/>
          <w:lang w:eastAsia="fr-FR"/>
        </w:rPr>
        <w:t>Il permet d’optimiser le travail respiratoire en toutes circonstances.</w:t>
      </w:r>
      <w:r w:rsidRPr="00DF72B2">
        <w:rPr>
          <w:rFonts w:ascii="PTSans" w:hAnsi="PTSans"/>
          <w:bCs/>
          <w:i/>
          <w:color w:val="001136"/>
          <w:sz w:val="25"/>
          <w:szCs w:val="25"/>
          <w:lang w:eastAsia="fr-FR"/>
        </w:rPr>
        <w:br/>
      </w:r>
      <w:r w:rsidRPr="00DF72B2">
        <w:rPr>
          <w:rFonts w:ascii="PTSans" w:hAnsi="PTSans"/>
          <w:bCs/>
          <w:i/>
          <w:color w:val="001136"/>
          <w:sz w:val="25"/>
          <w:lang w:eastAsia="fr-FR"/>
        </w:rPr>
        <w:t>Il permet de durcir un détendeur de secours pour éviter un débit continu.</w:t>
      </w:r>
      <w:r w:rsidRPr="00DF72B2">
        <w:rPr>
          <w:rFonts w:ascii="PTSans" w:hAnsi="PTSans"/>
          <w:bCs/>
          <w:color w:val="001136"/>
          <w:sz w:val="25"/>
          <w:szCs w:val="25"/>
          <w:lang w:eastAsia="fr-FR"/>
        </w:rPr>
        <w:br/>
        <w:t>- Que se passe t-il lorsque l’effet Venturi est compensé au maximum / au minimum.</w:t>
      </w:r>
      <w:r w:rsidRPr="00DF72B2">
        <w:rPr>
          <w:rFonts w:ascii="PTSans" w:hAnsi="PTSans"/>
          <w:bCs/>
          <w:color w:val="001136"/>
          <w:sz w:val="25"/>
          <w:szCs w:val="25"/>
          <w:lang w:eastAsia="fr-FR"/>
        </w:rPr>
        <w:br/>
      </w:r>
      <w:r w:rsidRPr="00DF72B2">
        <w:rPr>
          <w:rFonts w:ascii="PTSans" w:hAnsi="PTSans"/>
          <w:bCs/>
          <w:i/>
          <w:color w:val="001136"/>
          <w:sz w:val="25"/>
          <w:lang w:eastAsia="fr-FR"/>
        </w:rPr>
        <w:t>Compensé au maximum, il augmente le travail inspiratoire.</w:t>
      </w:r>
      <w:r w:rsidRPr="00DF72B2">
        <w:rPr>
          <w:rFonts w:ascii="PTSans" w:hAnsi="PTSans"/>
          <w:bCs/>
          <w:i/>
          <w:color w:val="001136"/>
          <w:sz w:val="25"/>
          <w:szCs w:val="25"/>
          <w:lang w:eastAsia="fr-FR"/>
        </w:rPr>
        <w:br/>
      </w:r>
      <w:r w:rsidRPr="00DF72B2">
        <w:rPr>
          <w:rFonts w:ascii="PTSans" w:hAnsi="PTSans"/>
          <w:bCs/>
          <w:i/>
          <w:color w:val="001136"/>
          <w:sz w:val="25"/>
          <w:lang w:eastAsia="fr-FR"/>
        </w:rPr>
        <w:t>Compensé au minimum, il provoque un débit continu.</w:t>
      </w:r>
    </w:p>
    <w:p w:rsidR="00DF72B2" w:rsidRPr="00DF72B2" w:rsidRDefault="00DF72B2" w:rsidP="00DF72B2">
      <w:pPr>
        <w:shd w:val="clear" w:color="auto" w:fill="FFFFFF"/>
        <w:outlineLvl w:val="2"/>
        <w:rPr>
          <w:rFonts w:ascii="PTSans" w:hAnsi="PTSans"/>
          <w:b w:val="0"/>
          <w:color w:val="006FB7"/>
          <w:sz w:val="34"/>
          <w:szCs w:val="34"/>
          <w:lang w:eastAsia="fr-FR"/>
        </w:rPr>
      </w:pPr>
      <w:r w:rsidRPr="00DF72B2">
        <w:rPr>
          <w:rFonts w:ascii="PTSans" w:hAnsi="PTSans"/>
          <w:b w:val="0"/>
          <w:color w:val="006FB7"/>
          <w:sz w:val="34"/>
          <w:szCs w:val="34"/>
          <w:lang w:eastAsia="fr-FR"/>
        </w:rPr>
        <w:t>Les Planches :</w:t>
      </w:r>
      <w:r w:rsidRPr="00DF72B2">
        <w:rPr>
          <w:rFonts w:ascii="PTSans" w:hAnsi="PTSans"/>
          <w:b w:val="0"/>
          <w:color w:val="006FB7"/>
          <w:sz w:val="34"/>
          <w:lang w:eastAsia="fr-FR"/>
        </w:rPr>
        <w:t> </w:t>
      </w:r>
    </w:p>
    <w:tbl>
      <w:tblPr>
        <w:tblW w:w="0" w:type="auto"/>
        <w:shd w:val="clear" w:color="auto" w:fill="FFFFFF"/>
        <w:tblCellMar>
          <w:top w:w="15" w:type="dxa"/>
          <w:left w:w="15" w:type="dxa"/>
          <w:bottom w:w="15" w:type="dxa"/>
          <w:right w:w="15" w:type="dxa"/>
        </w:tblCellMar>
        <w:tblLook w:val="0000"/>
      </w:tblPr>
      <w:tblGrid>
        <w:gridCol w:w="8586"/>
        <w:gridCol w:w="480"/>
      </w:tblGrid>
      <w:tr w:rsidR="00DF72B2" w:rsidRPr="00DF72B2" w:rsidTr="00DF72B2">
        <w:tc>
          <w:tcPr>
            <w:tcW w:w="0" w:type="auto"/>
            <w:shd w:val="clear" w:color="auto" w:fill="FFFFFF"/>
            <w:tcMar>
              <w:top w:w="0" w:type="dxa"/>
              <w:left w:w="0" w:type="dxa"/>
              <w:bottom w:w="0" w:type="dxa"/>
              <w:right w:w="0" w:type="dxa"/>
            </w:tcMar>
            <w:vAlign w:val="center"/>
          </w:tcPr>
          <w:p w:rsidR="00000000" w:rsidRPr="00DF72B2" w:rsidRDefault="00DF72B2" w:rsidP="00DF72B2">
            <w:pPr>
              <w:outlineLvl w:val="2"/>
              <w:rPr>
                <w:rFonts w:ascii="PTSans" w:hAnsi="PTSans"/>
                <w:b w:val="0"/>
                <w:color w:val="006FB7"/>
                <w:szCs w:val="44"/>
                <w:lang w:eastAsia="fr-FR"/>
              </w:rPr>
            </w:pPr>
            <w:r w:rsidRPr="00DF72B2">
              <w:rPr>
                <w:rFonts w:ascii="PTSans" w:hAnsi="PTSans"/>
                <w:b w:val="0"/>
                <w:color w:val="006FB7"/>
                <w:szCs w:val="44"/>
                <w:lang w:eastAsia="fr-FR"/>
              </w:rPr>
              <w:t>Fiche 10 - Réglage de l'effet Venturi (Annoté)</w:t>
            </w:r>
          </w:p>
        </w:tc>
        <w:tc>
          <w:tcPr>
            <w:tcW w:w="0" w:type="auto"/>
            <w:shd w:val="clear" w:color="auto" w:fill="FFFFFF"/>
            <w:tcMar>
              <w:top w:w="0" w:type="dxa"/>
              <w:left w:w="0" w:type="dxa"/>
              <w:bottom w:w="0" w:type="dxa"/>
              <w:right w:w="0" w:type="dxa"/>
            </w:tcMar>
            <w:vAlign w:val="center"/>
          </w:tcPr>
          <w:p w:rsidR="00DF72B2" w:rsidRPr="00DF72B2" w:rsidRDefault="00DF72B2" w:rsidP="00DF72B2">
            <w:pPr>
              <w:rPr>
                <w:rFonts w:ascii="Helvetica Neue" w:hAnsi="Helvetica Neue"/>
                <w:b w:val="0"/>
                <w:color w:val="333333"/>
                <w:sz w:val="26"/>
                <w:szCs w:val="26"/>
                <w:lang w:eastAsia="fr-FR"/>
              </w:rPr>
            </w:pPr>
            <w:hyperlink r:id="rId4" w:history="1">
              <w:r w:rsidRPr="00DF72B2">
                <w:rPr>
                  <w:rFonts w:ascii="PTSans" w:hAnsi="PTSans"/>
                  <w:b w:val="0"/>
                  <w:color w:val="337AB7"/>
                  <w:sz w:val="26"/>
                  <w:szCs w:val="26"/>
                  <w:lang w:eastAsia="fr-FR"/>
                </w:rPr>
                <w:pict>
                  <v:shape id="_x0000_i1026" type="#_x0000_t75" alt="" href="https://www.cibpl.fr/wpFichiers/1/1/Ressources/File/PLONGEE-SOUS-MARINE/APPROFONDIR/NIVEAU-4/Materiel/10 Deuxi%C3%A8me %C3%A9tage An - R%C3%A9glage effet Venturi.pdf" style="width:24pt;height:24pt" o:button="t"/>
                </w:pict>
              </w:r>
            </w:hyperlink>
          </w:p>
        </w:tc>
      </w:tr>
      <w:tr w:rsidR="00DF72B2" w:rsidRPr="00DF72B2" w:rsidTr="00DF72B2">
        <w:tc>
          <w:tcPr>
            <w:tcW w:w="0" w:type="auto"/>
            <w:shd w:val="clear" w:color="auto" w:fill="FFFFFF"/>
            <w:tcMar>
              <w:top w:w="0" w:type="dxa"/>
              <w:left w:w="0" w:type="dxa"/>
              <w:bottom w:w="0" w:type="dxa"/>
              <w:right w:w="0" w:type="dxa"/>
            </w:tcMar>
            <w:vAlign w:val="center"/>
          </w:tcPr>
          <w:p w:rsidR="00000000" w:rsidRPr="00DF72B2" w:rsidRDefault="00DF72B2" w:rsidP="00DF72B2">
            <w:pPr>
              <w:outlineLvl w:val="2"/>
              <w:rPr>
                <w:rFonts w:ascii="PTSans" w:hAnsi="PTSans"/>
                <w:b w:val="0"/>
                <w:color w:val="006FB7"/>
                <w:szCs w:val="44"/>
                <w:lang w:eastAsia="fr-FR"/>
              </w:rPr>
            </w:pPr>
            <w:r w:rsidRPr="00DF72B2">
              <w:rPr>
                <w:rFonts w:ascii="PTSans" w:hAnsi="PTSans"/>
                <w:b w:val="0"/>
                <w:color w:val="006FB7"/>
                <w:szCs w:val="44"/>
                <w:lang w:eastAsia="fr-FR"/>
              </w:rPr>
              <w:t>Fiche 10 - Réglage de l'effet Venturi (Non Annoté)</w:t>
            </w:r>
          </w:p>
        </w:tc>
        <w:tc>
          <w:tcPr>
            <w:tcW w:w="0" w:type="auto"/>
            <w:shd w:val="clear" w:color="auto" w:fill="FFFFFF"/>
            <w:tcMar>
              <w:top w:w="0" w:type="dxa"/>
              <w:left w:w="0" w:type="dxa"/>
              <w:bottom w:w="0" w:type="dxa"/>
              <w:right w:w="0" w:type="dxa"/>
            </w:tcMar>
            <w:vAlign w:val="center"/>
          </w:tcPr>
          <w:p w:rsidR="00DF72B2" w:rsidRPr="00DF72B2" w:rsidRDefault="00DF72B2" w:rsidP="00DF72B2">
            <w:pPr>
              <w:rPr>
                <w:rFonts w:ascii="Helvetica Neue" w:hAnsi="Helvetica Neue"/>
                <w:b w:val="0"/>
                <w:color w:val="333333"/>
                <w:sz w:val="26"/>
                <w:szCs w:val="26"/>
                <w:lang w:eastAsia="fr-FR"/>
              </w:rPr>
            </w:pPr>
            <w:hyperlink r:id="rId5" w:history="1">
              <w:r w:rsidRPr="00DF72B2">
                <w:rPr>
                  <w:rFonts w:ascii="PTSans" w:hAnsi="PTSans"/>
                  <w:b w:val="0"/>
                  <w:color w:val="337AB7"/>
                  <w:sz w:val="26"/>
                  <w:szCs w:val="26"/>
                  <w:lang w:eastAsia="fr-FR"/>
                </w:rPr>
                <w:pict>
                  <v:shape id="_x0000_i1027" type="#_x0000_t75" alt="" href="https://www.cibpl.fr/wpFichiers/1/1/Ressources/File/PLONGEE-SOUS-MARINE/APPROFONDIR/NIVEAU-4/Materiel/10 Deuxi%C3%A8me %C3%A9tage Na - R%C3%A9glage effet Venturi.pdf" style="width:24pt;height:24pt" o:button="t"/>
                </w:pict>
              </w:r>
            </w:hyperlink>
          </w:p>
        </w:tc>
      </w:tr>
    </w:tbl>
    <w:p w:rsidR="00444E32" w:rsidRDefault="00DF72B2"/>
    <w:sectPr w:rsidR="00444E32" w:rsidSect="00642829">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venir Oblique">
    <w:panose1 w:val="020B0503020203090204"/>
    <w:charset w:val="00"/>
    <w:family w:val="auto"/>
    <w:pitch w:val="variable"/>
    <w:sig w:usb0="00000003" w:usb1="00000000" w:usb2="00000000" w:usb3="00000000" w:csb0="00000001" w:csb1="00000000"/>
  </w:font>
  <w:font w:name="Times">
    <w:altName w:val="Times Roman"/>
    <w:panose1 w:val="02000500000000000000"/>
    <w:charset w:val="4D"/>
    <w:family w:val="roman"/>
    <w:notTrueType/>
    <w:pitch w:val="variable"/>
    <w:sig w:usb0="00000003" w:usb1="00000000" w:usb2="00000000" w:usb3="00000000" w:csb0="00000001" w:csb1="00000000"/>
  </w:font>
  <w:font w:name="PTSans">
    <w:altName w:val="Avenir Oblique"/>
    <w:panose1 w:val="00000000000000000000"/>
    <w:charset w:val="4D"/>
    <w:family w:val="roman"/>
    <w:notTrueType/>
    <w:pitch w:val="default"/>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F72B2"/>
    <w:rsid w:val="00DF72B2"/>
  </w:rsids>
  <m:mathPr>
    <m:mathFont m:val="Impac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E32"/>
    <w:rPr>
      <w:rFonts w:ascii="Avenir Oblique" w:hAnsi="Avenir Oblique"/>
      <w:b/>
      <w:color w:val="000000"/>
      <w:sz w:val="44"/>
    </w:rPr>
  </w:style>
  <w:style w:type="paragraph" w:styleId="Titre2">
    <w:name w:val="heading 2"/>
    <w:basedOn w:val="Normal"/>
    <w:link w:val="Titre2Car"/>
    <w:uiPriority w:val="9"/>
    <w:rsid w:val="00DF72B2"/>
    <w:pPr>
      <w:spacing w:beforeLines="1" w:afterLines="1"/>
      <w:outlineLvl w:val="1"/>
    </w:pPr>
    <w:rPr>
      <w:rFonts w:ascii="Times" w:hAnsi="Times"/>
      <w:color w:val="auto"/>
      <w:sz w:val="36"/>
      <w:szCs w:val="20"/>
      <w:lang w:eastAsia="fr-FR"/>
    </w:rPr>
  </w:style>
  <w:style w:type="paragraph" w:styleId="Titre3">
    <w:name w:val="heading 3"/>
    <w:basedOn w:val="Normal"/>
    <w:link w:val="Titre3Car"/>
    <w:uiPriority w:val="9"/>
    <w:rsid w:val="00DF72B2"/>
    <w:pPr>
      <w:spacing w:beforeLines="1" w:afterLines="1"/>
      <w:outlineLvl w:val="2"/>
    </w:pPr>
    <w:rPr>
      <w:rFonts w:ascii="Times" w:hAnsi="Times"/>
      <w:color w:val="auto"/>
      <w:sz w:val="27"/>
      <w:szCs w:val="20"/>
      <w:lang w:eastAsia="fr-FR"/>
    </w:rPr>
  </w:style>
  <w:style w:type="paragraph" w:styleId="Titre4">
    <w:name w:val="heading 4"/>
    <w:basedOn w:val="Normal"/>
    <w:link w:val="Titre4Car"/>
    <w:uiPriority w:val="9"/>
    <w:rsid w:val="00DF72B2"/>
    <w:pPr>
      <w:spacing w:beforeLines="1" w:afterLines="1"/>
      <w:outlineLvl w:val="3"/>
    </w:pPr>
    <w:rPr>
      <w:rFonts w:ascii="Times" w:hAnsi="Times"/>
      <w:color w:val="auto"/>
      <w:sz w:val="24"/>
      <w:szCs w:val="20"/>
      <w:lang w:eastAsia="fr-FR"/>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Titre2Car">
    <w:name w:val="Titre 2 Car"/>
    <w:basedOn w:val="Policepardfaut"/>
    <w:link w:val="Titre2"/>
    <w:uiPriority w:val="9"/>
    <w:rsid w:val="00DF72B2"/>
    <w:rPr>
      <w:rFonts w:ascii="Times" w:hAnsi="Times"/>
      <w:b/>
      <w:sz w:val="36"/>
      <w:szCs w:val="20"/>
      <w:lang w:eastAsia="fr-FR"/>
    </w:rPr>
  </w:style>
  <w:style w:type="character" w:customStyle="1" w:styleId="Titre3Car">
    <w:name w:val="Titre 3 Car"/>
    <w:basedOn w:val="Policepardfaut"/>
    <w:link w:val="Titre3"/>
    <w:uiPriority w:val="9"/>
    <w:rsid w:val="00DF72B2"/>
    <w:rPr>
      <w:rFonts w:ascii="Times" w:hAnsi="Times"/>
      <w:b/>
      <w:sz w:val="27"/>
      <w:szCs w:val="20"/>
      <w:lang w:eastAsia="fr-FR"/>
    </w:rPr>
  </w:style>
  <w:style w:type="character" w:customStyle="1" w:styleId="Titre4Car">
    <w:name w:val="Titre 4 Car"/>
    <w:basedOn w:val="Policepardfaut"/>
    <w:link w:val="Titre4"/>
    <w:uiPriority w:val="9"/>
    <w:rsid w:val="00DF72B2"/>
    <w:rPr>
      <w:rFonts w:ascii="Times" w:hAnsi="Times"/>
      <w:b/>
      <w:szCs w:val="20"/>
      <w:lang w:eastAsia="fr-FR"/>
    </w:rPr>
  </w:style>
  <w:style w:type="character" w:styleId="Accentuation">
    <w:name w:val="Emphasis"/>
    <w:basedOn w:val="Policepardfaut"/>
    <w:uiPriority w:val="20"/>
    <w:rsid w:val="00DF72B2"/>
    <w:rPr>
      <w:i/>
    </w:rPr>
  </w:style>
  <w:style w:type="character" w:customStyle="1" w:styleId="apple-converted-space">
    <w:name w:val="apple-converted-space"/>
    <w:basedOn w:val="Policepardfaut"/>
    <w:rsid w:val="00DF72B2"/>
  </w:style>
</w:styles>
</file>

<file path=word/webSettings.xml><?xml version="1.0" encoding="utf-8"?>
<w:webSettings xmlns:r="http://schemas.openxmlformats.org/officeDocument/2006/relationships" xmlns:w="http://schemas.openxmlformats.org/wordprocessingml/2006/main">
  <w:divs>
    <w:div w:id="17777478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cibpl.fr/wpFichiers/1/1/Ressources/File/PLONGEE-SOUS-MARINE/APPROFONDIR/NIVEAU-4/Materiel/10%20Deuxi%C3%A8me%20%C3%A9tage%20An%20-%20R%C3%A9glage%20effet%20Venturi.pdf" TargetMode="External"/><Relationship Id="rId5" Type="http://schemas.openxmlformats.org/officeDocument/2006/relationships/hyperlink" Target="https://www.cibpl.fr/wpFichiers/1/1/Ressources/File/PLONGEE-SOUS-MARINE/APPROFONDIR/NIVEAU-4/Materiel/10%20Deuxi%C3%A8me%20%C3%A9tage%20Na%20-%20R%C3%A9glage%20effet%20Venturi.pdf"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2052</Characters>
  <Application>Microsoft Macintosh Word</Application>
  <DocSecurity>0</DocSecurity>
  <Lines>17</Lines>
  <Paragraphs>4</Paragraphs>
  <ScaleCrop>false</ScaleCrop>
  <LinksUpToDate>false</LinksUpToDate>
  <CharactersWithSpaces>2520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cieszkowski</dc:creator>
  <cp:keywords/>
  <cp:lastModifiedBy>david cieszkowski</cp:lastModifiedBy>
  <cp:revision>1</cp:revision>
  <dcterms:created xsi:type="dcterms:W3CDTF">2019-03-30T21:29:00Z</dcterms:created>
  <dcterms:modified xsi:type="dcterms:W3CDTF">2019-03-30T21:29:00Z</dcterms:modified>
</cp:coreProperties>
</file>