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114" w:rsidRDefault="00207114" w:rsidP="00207114">
      <w:pPr>
        <w:pStyle w:val="NormalWeb"/>
        <w:spacing w:before="2" w:after="2"/>
      </w:pPr>
      <w:r>
        <w:rPr>
          <w:rFonts w:ascii="Calibri" w:hAnsi="Calibri"/>
          <w:sz w:val="22"/>
          <w:szCs w:val="22"/>
        </w:rPr>
        <w:t xml:space="preserve">Jury : Candidat : Note : </w:t>
      </w:r>
    </w:p>
    <w:p w:rsidR="00207114" w:rsidRDefault="00207114" w:rsidP="00207114">
      <w:pPr>
        <w:pStyle w:val="NormalWeb"/>
        <w:spacing w:before="2" w:after="2"/>
      </w:pPr>
      <w:r>
        <w:rPr>
          <w:rFonts w:ascii="Arial,Bold" w:hAnsi="Arial,Bold"/>
          <w:color w:val="001E5E"/>
        </w:rPr>
        <w:t xml:space="preserve">EPREUVE 14 – Matériel de plongée : (coefficient 2) </w:t>
      </w:r>
    </w:p>
    <w:p w:rsidR="00207114" w:rsidRDefault="00207114" w:rsidP="00207114">
      <w:pPr>
        <w:pStyle w:val="NormalWeb"/>
        <w:spacing w:before="2" w:after="2"/>
      </w:pPr>
      <w:r>
        <w:rPr>
          <w:rFonts w:ascii="Arial" w:hAnsi="Arial"/>
          <w:color w:val="001E5E"/>
        </w:rPr>
        <w:t xml:space="preserve">Cette épreuve porte sur l’évaluation des connaissances en matériel à partir de planches, de dessins, ou d’éclatés. </w:t>
      </w:r>
    </w:p>
    <w:p w:rsidR="00207114" w:rsidRDefault="00207114" w:rsidP="00207114">
      <w:pPr>
        <w:pStyle w:val="NormalWeb"/>
        <w:spacing w:before="2" w:after="2"/>
      </w:pPr>
      <w:r>
        <w:rPr>
          <w:rFonts w:ascii="Arial,Bold" w:hAnsi="Arial,Bold"/>
          <w:color w:val="001E5E"/>
        </w:rPr>
        <w:t xml:space="preserve">Le compresseur. </w:t>
      </w:r>
    </w:p>
    <w:p w:rsidR="00207114" w:rsidRDefault="00207114" w:rsidP="00207114">
      <w:pPr>
        <w:pStyle w:val="NormalWeb"/>
        <w:spacing w:before="2" w:after="2"/>
      </w:pPr>
      <w:proofErr w:type="gramStart"/>
      <w:r>
        <w:rPr>
          <w:rFonts w:ascii="Courier New" w:hAnsi="Courier New"/>
          <w:color w:val="001E5E"/>
        </w:rPr>
        <w:t>o</w:t>
      </w:r>
      <w:proofErr w:type="gramEnd"/>
      <w:r>
        <w:rPr>
          <w:rFonts w:ascii="Courier New" w:hAnsi="Courier New"/>
          <w:color w:val="001E5E"/>
        </w:rPr>
        <w:t xml:space="preserve"> </w:t>
      </w:r>
      <w:r>
        <w:rPr>
          <w:rFonts w:ascii="Arial" w:hAnsi="Arial"/>
          <w:color w:val="001E5E"/>
        </w:rPr>
        <w:t xml:space="preserve">Connaître le principe de fonctionnement d’un compresseur : </w:t>
      </w:r>
    </w:p>
    <w:p w:rsidR="00207114" w:rsidRDefault="00207114" w:rsidP="00207114">
      <w:pPr>
        <w:pStyle w:val="NormalWeb"/>
        <w:numPr>
          <w:ilvl w:val="0"/>
          <w:numId w:val="1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Savoir commenter un schéma de principe et décrire le fonctionnement des différents composants. </w:t>
      </w:r>
    </w:p>
    <w:p w:rsidR="00207114" w:rsidRDefault="00207114" w:rsidP="00207114">
      <w:pPr>
        <w:pStyle w:val="NormalWeb"/>
        <w:numPr>
          <w:ilvl w:val="0"/>
          <w:numId w:val="1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Connaître la réglementation concernant le gonflage des blocs en toute sécurité </w:t>
      </w:r>
    </w:p>
    <w:p w:rsidR="00207114" w:rsidRDefault="00207114" w:rsidP="00207114">
      <w:pPr>
        <w:pStyle w:val="NormalWeb"/>
        <w:numPr>
          <w:ilvl w:val="0"/>
          <w:numId w:val="1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Reconnaître les pannes courantes. </w:t>
      </w:r>
    </w:p>
    <w:p w:rsidR="00207114" w:rsidRDefault="00207114" w:rsidP="00207114">
      <w:pPr>
        <w:pStyle w:val="NormalWeb"/>
        <w:spacing w:before="2" w:after="2"/>
        <w:ind w:left="720"/>
      </w:pPr>
      <w:r>
        <w:rPr>
          <w:rFonts w:ascii="Arial,Bold" w:hAnsi="Arial,Bold"/>
          <w:color w:val="001E5E"/>
        </w:rPr>
        <w:t xml:space="preserve">Les blocs de plongée. </w:t>
      </w:r>
    </w:p>
    <w:p w:rsidR="00207114" w:rsidRDefault="00207114" w:rsidP="00207114">
      <w:pPr>
        <w:pStyle w:val="NormalWeb"/>
        <w:spacing w:before="2" w:after="2"/>
      </w:pPr>
      <w:proofErr w:type="gramStart"/>
      <w:r>
        <w:rPr>
          <w:rFonts w:ascii="Courier New" w:hAnsi="Courier New"/>
          <w:color w:val="001E5E"/>
        </w:rPr>
        <w:t>o</w:t>
      </w:r>
      <w:proofErr w:type="gramEnd"/>
      <w:r>
        <w:rPr>
          <w:rFonts w:ascii="Courier New" w:hAnsi="Courier New"/>
          <w:color w:val="001E5E"/>
        </w:rPr>
        <w:t xml:space="preserve"> </w:t>
      </w:r>
      <w:r>
        <w:rPr>
          <w:rFonts w:ascii="Arial" w:hAnsi="Arial"/>
          <w:color w:val="001E5E"/>
        </w:rPr>
        <w:t xml:space="preserve">Réglementation concernant l’inspection visuelle et la requalification. </w:t>
      </w:r>
      <w:proofErr w:type="gramStart"/>
      <w:r>
        <w:rPr>
          <w:rFonts w:ascii="Courier New" w:hAnsi="Courier New"/>
          <w:color w:val="001E5E"/>
        </w:rPr>
        <w:t>o</w:t>
      </w:r>
      <w:proofErr w:type="gramEnd"/>
      <w:r>
        <w:rPr>
          <w:rFonts w:ascii="Courier New" w:hAnsi="Courier New"/>
          <w:color w:val="001E5E"/>
        </w:rPr>
        <w:t xml:space="preserve"> </w:t>
      </w:r>
      <w:r>
        <w:rPr>
          <w:rFonts w:ascii="Arial" w:hAnsi="Arial"/>
          <w:color w:val="001E5E"/>
        </w:rPr>
        <w:t xml:space="preserve">Le robinet de conservation : </w:t>
      </w:r>
    </w:p>
    <w:p w:rsidR="00207114" w:rsidRDefault="00207114" w:rsidP="00207114">
      <w:pPr>
        <w:pStyle w:val="NormalWeb"/>
        <w:numPr>
          <w:ilvl w:val="0"/>
          <w:numId w:val="2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Savoir décrire son fonctionnement à partir d’un schéma de principe </w:t>
      </w:r>
    </w:p>
    <w:p w:rsidR="00207114" w:rsidRDefault="00207114" w:rsidP="00207114">
      <w:pPr>
        <w:pStyle w:val="NormalWeb"/>
        <w:numPr>
          <w:ilvl w:val="0"/>
          <w:numId w:val="2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Précautions d’utilisation et d’entretien </w:t>
      </w:r>
    </w:p>
    <w:p w:rsidR="00207114" w:rsidRDefault="00207114" w:rsidP="00207114">
      <w:pPr>
        <w:pStyle w:val="NormalWeb"/>
        <w:spacing w:before="2" w:after="2"/>
        <w:ind w:left="720"/>
      </w:pPr>
      <w:r>
        <w:rPr>
          <w:rFonts w:ascii="Arial,Bold" w:hAnsi="Arial,Bold"/>
          <w:color w:val="001E5E"/>
        </w:rPr>
        <w:t>Les détendeurs</w:t>
      </w:r>
      <w:r>
        <w:rPr>
          <w:rFonts w:ascii="Arial" w:hAnsi="Arial"/>
          <w:color w:val="001E5E"/>
        </w:rPr>
        <w:t xml:space="preserve">. </w:t>
      </w:r>
    </w:p>
    <w:p w:rsidR="00207114" w:rsidRDefault="00207114" w:rsidP="00207114">
      <w:pPr>
        <w:pStyle w:val="NormalWeb"/>
        <w:spacing w:before="2" w:after="2"/>
      </w:pPr>
      <w:proofErr w:type="gramStart"/>
      <w:r>
        <w:rPr>
          <w:rFonts w:ascii="Courier New" w:hAnsi="Courier New"/>
          <w:color w:val="001E5E"/>
        </w:rPr>
        <w:t>o</w:t>
      </w:r>
      <w:proofErr w:type="gramEnd"/>
      <w:r>
        <w:rPr>
          <w:rFonts w:ascii="Courier New" w:hAnsi="Courier New"/>
          <w:color w:val="001E5E"/>
        </w:rPr>
        <w:t xml:space="preserve"> </w:t>
      </w:r>
      <w:r>
        <w:rPr>
          <w:rFonts w:ascii="Arial" w:hAnsi="Arial"/>
          <w:color w:val="001E5E"/>
        </w:rPr>
        <w:t xml:space="preserve">Connaître les notions élémentaires à la compréhension du fonctionnement d’un détendeur : </w:t>
      </w:r>
    </w:p>
    <w:p w:rsidR="00207114" w:rsidRDefault="00207114" w:rsidP="00207114">
      <w:pPr>
        <w:pStyle w:val="NormalWeb"/>
        <w:numPr>
          <w:ilvl w:val="0"/>
          <w:numId w:val="3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Siège, clapet. </w:t>
      </w:r>
    </w:p>
    <w:p w:rsidR="00207114" w:rsidRDefault="00207114" w:rsidP="00207114">
      <w:pPr>
        <w:pStyle w:val="NormalWeb"/>
        <w:numPr>
          <w:ilvl w:val="0"/>
          <w:numId w:val="3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Clapet amont, clapet aval. </w:t>
      </w:r>
    </w:p>
    <w:p w:rsidR="00207114" w:rsidRDefault="00207114" w:rsidP="00207114">
      <w:pPr>
        <w:pStyle w:val="NormalWeb"/>
        <w:numPr>
          <w:ilvl w:val="0"/>
          <w:numId w:val="3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Haute pression, moyenne pression, pression intermédiaire et pression ambiante </w:t>
      </w:r>
    </w:p>
    <w:p w:rsidR="00207114" w:rsidRDefault="00207114" w:rsidP="00207114">
      <w:pPr>
        <w:pStyle w:val="NormalWeb"/>
        <w:numPr>
          <w:ilvl w:val="0"/>
          <w:numId w:val="3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Principe de compensation. </w:t>
      </w:r>
    </w:p>
    <w:p w:rsidR="00207114" w:rsidRDefault="00207114" w:rsidP="00207114">
      <w:pPr>
        <w:pStyle w:val="NormalWeb"/>
        <w:spacing w:before="2" w:after="2"/>
      </w:pPr>
      <w:proofErr w:type="gramStart"/>
      <w:r>
        <w:rPr>
          <w:rFonts w:ascii="Courier New" w:hAnsi="Courier New"/>
          <w:color w:val="001E5E"/>
        </w:rPr>
        <w:t>o</w:t>
      </w:r>
      <w:proofErr w:type="gramEnd"/>
      <w:r>
        <w:rPr>
          <w:rFonts w:ascii="Courier New" w:hAnsi="Courier New"/>
          <w:color w:val="001E5E"/>
        </w:rPr>
        <w:t xml:space="preserve"> </w:t>
      </w:r>
      <w:r>
        <w:rPr>
          <w:rFonts w:ascii="Arial" w:hAnsi="Arial"/>
          <w:color w:val="001E5E"/>
        </w:rPr>
        <w:t xml:space="preserve">Savoir décrire, à partir d’un schéma de principe, le fonctionnement : </w:t>
      </w:r>
    </w:p>
    <w:p w:rsidR="00207114" w:rsidRDefault="00207114" w:rsidP="00207114">
      <w:pPr>
        <w:pStyle w:val="NormalWeb"/>
        <w:numPr>
          <w:ilvl w:val="0"/>
          <w:numId w:val="4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D’un 1er étage à piston simple (non compensé). </w:t>
      </w:r>
    </w:p>
    <w:p w:rsidR="00207114" w:rsidRDefault="00207114" w:rsidP="00207114">
      <w:pPr>
        <w:pStyle w:val="NormalWeb"/>
        <w:numPr>
          <w:ilvl w:val="0"/>
          <w:numId w:val="4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D’un 1er étage à piston équilibré (compensé). </w:t>
      </w:r>
    </w:p>
    <w:p w:rsidR="00207114" w:rsidRDefault="00207114" w:rsidP="00207114">
      <w:pPr>
        <w:pStyle w:val="NormalWeb"/>
        <w:numPr>
          <w:ilvl w:val="0"/>
          <w:numId w:val="4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D’un 1er étage à membrane équilibrée (compensée). </w:t>
      </w:r>
    </w:p>
    <w:p w:rsidR="00207114" w:rsidRDefault="00207114" w:rsidP="00207114">
      <w:pPr>
        <w:pStyle w:val="NormalWeb"/>
        <w:numPr>
          <w:ilvl w:val="0"/>
          <w:numId w:val="4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D’un 2ème étage simple (non compensé). </w:t>
      </w:r>
    </w:p>
    <w:p w:rsidR="00207114" w:rsidRDefault="00207114" w:rsidP="00207114">
      <w:pPr>
        <w:pStyle w:val="NormalWeb"/>
        <w:numPr>
          <w:ilvl w:val="0"/>
          <w:numId w:val="4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D’un 2ème étage équilibré (compensé). </w:t>
      </w:r>
    </w:p>
    <w:p w:rsidR="00207114" w:rsidRDefault="00207114" w:rsidP="00207114">
      <w:pPr>
        <w:pStyle w:val="NormalWeb"/>
        <w:spacing w:before="2" w:after="2"/>
        <w:ind w:left="720"/>
      </w:pPr>
      <w:r>
        <w:rPr>
          <w:rFonts w:ascii="Arial" w:hAnsi="Arial"/>
          <w:color w:val="001E5E"/>
        </w:rPr>
        <w:t xml:space="preserve">Nb : Le candidat devra pouvoir décrire simplement les forces qui ouvrent et ferment le clapet. Aucune valeur chiffrée ni équation de fonctionnement n’est exigible. </w:t>
      </w:r>
    </w:p>
    <w:p w:rsidR="00207114" w:rsidRDefault="00207114" w:rsidP="00207114">
      <w:pPr>
        <w:pStyle w:val="NormalWeb"/>
        <w:spacing w:before="2" w:after="2"/>
      </w:pPr>
      <w:proofErr w:type="gramStart"/>
      <w:r>
        <w:rPr>
          <w:rFonts w:ascii="Courier New" w:hAnsi="Courier New"/>
          <w:color w:val="001E5E"/>
        </w:rPr>
        <w:t>o</w:t>
      </w:r>
      <w:proofErr w:type="gramEnd"/>
      <w:r>
        <w:rPr>
          <w:rFonts w:ascii="Courier New" w:hAnsi="Courier New"/>
          <w:color w:val="001E5E"/>
        </w:rPr>
        <w:t xml:space="preserve"> </w:t>
      </w:r>
      <w:r>
        <w:rPr>
          <w:rFonts w:ascii="Arial" w:hAnsi="Arial"/>
          <w:color w:val="001E5E"/>
        </w:rPr>
        <w:t xml:space="preserve">Décrire simplement les notions suivantes : </w:t>
      </w:r>
    </w:p>
    <w:p w:rsidR="00207114" w:rsidRDefault="00207114" w:rsidP="00207114">
      <w:pPr>
        <w:pStyle w:val="NormalWeb"/>
        <w:numPr>
          <w:ilvl w:val="0"/>
          <w:numId w:val="5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au 1er étage : surcompensation. </w:t>
      </w:r>
    </w:p>
    <w:p w:rsidR="00207114" w:rsidRDefault="00207114" w:rsidP="00207114">
      <w:pPr>
        <w:pStyle w:val="NormalWeb"/>
        <w:numPr>
          <w:ilvl w:val="0"/>
          <w:numId w:val="5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au 2ème étage : réglage de l’effet Venturi, effet Vortex. </w:t>
      </w:r>
    </w:p>
    <w:p w:rsidR="00207114" w:rsidRDefault="00207114" w:rsidP="00207114">
      <w:pPr>
        <w:pStyle w:val="NormalWeb"/>
        <w:spacing w:before="2" w:after="2"/>
        <w:ind w:left="720"/>
      </w:pPr>
      <w:r>
        <w:rPr>
          <w:rFonts w:ascii="Arial" w:hAnsi="Arial"/>
          <w:color w:val="001E5E"/>
        </w:rPr>
        <w:t xml:space="preserve">Nb : Le candidat devra pouvoir décrire simplement les avantages supposés de ces améliorations en s’appuyant éventuellement sur un schéma de principe. Aucune valeur chiffrée, ni équation de fonctionnement n’est exigible. </w:t>
      </w:r>
    </w:p>
    <w:p w:rsidR="00207114" w:rsidRDefault="00207114" w:rsidP="00207114">
      <w:pPr>
        <w:pStyle w:val="NormalWeb"/>
        <w:spacing w:before="2" w:after="2"/>
      </w:pPr>
      <w:proofErr w:type="gramStart"/>
      <w:r>
        <w:rPr>
          <w:rFonts w:ascii="Courier New" w:hAnsi="Courier New"/>
          <w:color w:val="001E5E"/>
        </w:rPr>
        <w:t>o</w:t>
      </w:r>
      <w:proofErr w:type="gramEnd"/>
      <w:r>
        <w:rPr>
          <w:rFonts w:ascii="Courier New" w:hAnsi="Courier New"/>
          <w:color w:val="001E5E"/>
        </w:rPr>
        <w:t xml:space="preserve"> </w:t>
      </w:r>
      <w:r>
        <w:rPr>
          <w:rFonts w:ascii="Arial" w:hAnsi="Arial"/>
          <w:color w:val="001E5E"/>
        </w:rPr>
        <w:t xml:space="preserve">Givrage des détendeurs : facteurs favorisants et prévention. </w:t>
      </w:r>
      <w:r>
        <w:rPr>
          <w:rFonts w:ascii="Arial,Bold" w:hAnsi="Arial,Bold"/>
          <w:color w:val="001E5E"/>
        </w:rPr>
        <w:t xml:space="preserve">Le manomètre immergeable. </w:t>
      </w:r>
    </w:p>
    <w:p w:rsidR="00207114" w:rsidRDefault="00207114" w:rsidP="00207114">
      <w:pPr>
        <w:pStyle w:val="NormalWeb"/>
        <w:spacing w:before="2" w:after="2"/>
      </w:pPr>
      <w:r>
        <w:rPr>
          <w:rFonts w:ascii="Consolas" w:hAnsi="Consolas"/>
          <w:color w:val="001E5E"/>
        </w:rPr>
        <w:t xml:space="preserve">‐ </w:t>
      </w:r>
      <w:r>
        <w:rPr>
          <w:rFonts w:ascii="Arial" w:hAnsi="Arial"/>
          <w:color w:val="001E5E"/>
        </w:rPr>
        <w:t xml:space="preserve">Principe de fonctionnement. </w:t>
      </w:r>
    </w:p>
    <w:p w:rsidR="00207114" w:rsidRDefault="00207114" w:rsidP="00207114">
      <w:pPr>
        <w:pStyle w:val="NormalWeb"/>
        <w:spacing w:before="2" w:after="2"/>
      </w:pPr>
      <w:r>
        <w:rPr>
          <w:rFonts w:ascii="Arial,Bold" w:hAnsi="Arial,Bold"/>
          <w:color w:val="001E5E"/>
        </w:rPr>
        <w:t xml:space="preserve">Le gilet stabilisateur. </w:t>
      </w:r>
    </w:p>
    <w:p w:rsidR="00207114" w:rsidRDefault="00207114" w:rsidP="00207114">
      <w:pPr>
        <w:pStyle w:val="NormalWeb"/>
        <w:numPr>
          <w:ilvl w:val="0"/>
          <w:numId w:val="6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Différents modèles : enveloppantes, dorsales. </w:t>
      </w:r>
    </w:p>
    <w:p w:rsidR="00207114" w:rsidRDefault="00207114" w:rsidP="00207114">
      <w:pPr>
        <w:pStyle w:val="NormalWeb"/>
        <w:numPr>
          <w:ilvl w:val="0"/>
          <w:numId w:val="6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>Adaptation du gilet utilisé selon la pratique</w:t>
      </w:r>
      <w:r>
        <w:rPr>
          <w:rFonts w:ascii="Arial,Bold" w:hAnsi="Arial,Bold"/>
          <w:color w:val="001E5E"/>
        </w:rPr>
        <w:t xml:space="preserve">. </w:t>
      </w:r>
    </w:p>
    <w:p w:rsidR="00207114" w:rsidRDefault="00207114" w:rsidP="00207114">
      <w:pPr>
        <w:pStyle w:val="NormalWeb"/>
        <w:spacing w:before="2" w:after="2"/>
        <w:ind w:left="720"/>
      </w:pPr>
      <w:r>
        <w:rPr>
          <w:rFonts w:ascii="Arial,Bold" w:hAnsi="Arial,Bold"/>
          <w:color w:val="001E5E"/>
        </w:rPr>
        <w:t xml:space="preserve">L’ordinateur de plongée. </w:t>
      </w:r>
    </w:p>
    <w:p w:rsidR="00207114" w:rsidRDefault="00207114" w:rsidP="00207114">
      <w:pPr>
        <w:pStyle w:val="NormalWeb"/>
        <w:numPr>
          <w:ilvl w:val="0"/>
          <w:numId w:val="7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Principes simples de fonctionnement. Aucune notion d’informatique ou d’électronique n’est exigible. </w:t>
      </w:r>
    </w:p>
    <w:p w:rsidR="00207114" w:rsidRDefault="00207114" w:rsidP="00207114">
      <w:pPr>
        <w:pStyle w:val="NormalWeb"/>
        <w:numPr>
          <w:ilvl w:val="0"/>
          <w:numId w:val="7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Différences de calcul entre une table et un ordinateur (Nb : les différents algorithmes sont développés </w:t>
      </w:r>
    </w:p>
    <w:p w:rsidR="00207114" w:rsidRDefault="00207114" w:rsidP="00207114">
      <w:pPr>
        <w:pStyle w:val="NormalWeb"/>
        <w:spacing w:before="2" w:after="2"/>
        <w:ind w:left="720"/>
      </w:pPr>
      <w:proofErr w:type="gramStart"/>
      <w:r>
        <w:rPr>
          <w:rFonts w:ascii="Arial" w:hAnsi="Arial"/>
          <w:color w:val="001E5E"/>
        </w:rPr>
        <w:t>dans</w:t>
      </w:r>
      <w:proofErr w:type="gramEnd"/>
      <w:r>
        <w:rPr>
          <w:rFonts w:ascii="Arial" w:hAnsi="Arial"/>
          <w:color w:val="001E5E"/>
        </w:rPr>
        <w:t xml:space="preserve"> le chapitre décompression). </w:t>
      </w:r>
    </w:p>
    <w:p w:rsidR="00207114" w:rsidRDefault="00207114" w:rsidP="00207114">
      <w:pPr>
        <w:pStyle w:val="NormalWeb"/>
        <w:numPr>
          <w:ilvl w:val="0"/>
          <w:numId w:val="7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Différents réglages et conséquences en plongée : durcissement, paliers spécifiques (paliers profonds, </w:t>
      </w:r>
    </w:p>
    <w:p w:rsidR="00207114" w:rsidRDefault="00207114" w:rsidP="00207114">
      <w:pPr>
        <w:pStyle w:val="NormalWeb"/>
        <w:spacing w:before="2" w:after="2"/>
        <w:ind w:left="720"/>
      </w:pPr>
      <w:proofErr w:type="gramStart"/>
      <w:r>
        <w:rPr>
          <w:rFonts w:ascii="Arial" w:hAnsi="Arial"/>
          <w:color w:val="001E5E"/>
        </w:rPr>
        <w:t>de principe</w:t>
      </w:r>
      <w:proofErr w:type="gramEnd"/>
      <w:r>
        <w:rPr>
          <w:rFonts w:ascii="Arial" w:hAnsi="Arial"/>
          <w:color w:val="001E5E"/>
        </w:rPr>
        <w:t xml:space="preserve">, etc.), mode planification, utilisation de mélanges, affichage de la pression résiduelle du </w:t>
      </w:r>
    </w:p>
    <w:p w:rsidR="00207114" w:rsidRDefault="00207114" w:rsidP="00207114">
      <w:pPr>
        <w:pStyle w:val="NormalWeb"/>
        <w:spacing w:before="2" w:after="2"/>
        <w:ind w:left="720"/>
      </w:pPr>
      <w:proofErr w:type="gramStart"/>
      <w:r>
        <w:rPr>
          <w:rFonts w:ascii="Arial" w:hAnsi="Arial"/>
          <w:color w:val="001E5E"/>
        </w:rPr>
        <w:t>bloc</w:t>
      </w:r>
      <w:proofErr w:type="gramEnd"/>
      <w:r>
        <w:rPr>
          <w:rFonts w:ascii="Arial" w:hAnsi="Arial"/>
          <w:color w:val="001E5E"/>
        </w:rPr>
        <w:t xml:space="preserve">, etc. </w:t>
      </w:r>
    </w:p>
    <w:p w:rsidR="00207114" w:rsidRDefault="00207114" w:rsidP="00207114">
      <w:pPr>
        <w:pStyle w:val="NormalWeb"/>
        <w:numPr>
          <w:ilvl w:val="0"/>
          <w:numId w:val="7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Le candidat doit être capable de décrire les fonctions de son propre ordinateur et justifier ses critères </w:t>
      </w:r>
    </w:p>
    <w:p w:rsidR="00207114" w:rsidRDefault="00207114" w:rsidP="00207114">
      <w:pPr>
        <w:pStyle w:val="NormalWeb"/>
        <w:spacing w:before="2" w:after="2"/>
        <w:ind w:left="720"/>
      </w:pPr>
      <w:proofErr w:type="gramStart"/>
      <w:r>
        <w:rPr>
          <w:rFonts w:ascii="Arial" w:hAnsi="Arial"/>
          <w:color w:val="001E5E"/>
        </w:rPr>
        <w:t>de</w:t>
      </w:r>
      <w:proofErr w:type="gramEnd"/>
      <w:r>
        <w:rPr>
          <w:rFonts w:ascii="Arial" w:hAnsi="Arial"/>
          <w:color w:val="001E5E"/>
        </w:rPr>
        <w:t xml:space="preserve"> choix. </w:t>
      </w:r>
    </w:p>
    <w:p w:rsidR="00207114" w:rsidRDefault="00207114" w:rsidP="00207114">
      <w:pPr>
        <w:pStyle w:val="NormalWeb"/>
        <w:numPr>
          <w:ilvl w:val="0"/>
          <w:numId w:val="7"/>
        </w:numPr>
        <w:spacing w:before="2" w:after="2"/>
      </w:pPr>
      <w:r>
        <w:rPr>
          <w:rFonts w:ascii="Consolas" w:hAnsi="Consolas"/>
          <w:color w:val="001E5E"/>
        </w:rPr>
        <w:t>‐  </w:t>
      </w:r>
      <w:r>
        <w:rPr>
          <w:rFonts w:ascii="Arial" w:hAnsi="Arial"/>
          <w:color w:val="001E5E"/>
        </w:rPr>
        <w:t xml:space="preserve">Le candidat doit être capable de lire les écrans des ordinateurs courants. </w:t>
      </w:r>
      <w:r>
        <w:rPr>
          <w:rFonts w:ascii="Calibri,Italic" w:hAnsi="Calibri,Italic"/>
          <w:sz w:val="18"/>
          <w:szCs w:val="18"/>
        </w:rPr>
        <w:t xml:space="preserve">Fiche Coll_16-02-2019 </w:t>
      </w:r>
    </w:p>
    <w:p w:rsidR="00444E32" w:rsidRDefault="00207114"/>
    <w:sectPr w:rsidR="00444E32" w:rsidSect="0064282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venir Oblique">
    <w:panose1 w:val="020B0503020203090204"/>
    <w:charset w:val="00"/>
    <w:family w:val="auto"/>
    <w:pitch w:val="variable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,Bold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alibri,Italic">
    <w:altName w:val="Avenir Oblique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8E1"/>
    <w:multiLevelType w:val="multilevel"/>
    <w:tmpl w:val="8238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511DD"/>
    <w:multiLevelType w:val="multilevel"/>
    <w:tmpl w:val="0D06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72773D"/>
    <w:multiLevelType w:val="multilevel"/>
    <w:tmpl w:val="771E1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7E47D2"/>
    <w:multiLevelType w:val="multilevel"/>
    <w:tmpl w:val="14AC6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A45845"/>
    <w:multiLevelType w:val="multilevel"/>
    <w:tmpl w:val="41BA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66153F"/>
    <w:multiLevelType w:val="multilevel"/>
    <w:tmpl w:val="90823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8F4438"/>
    <w:multiLevelType w:val="multilevel"/>
    <w:tmpl w:val="D5FEE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07114"/>
    <w:rsid w:val="00207114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E32"/>
    <w:rPr>
      <w:rFonts w:ascii="Avenir Oblique" w:hAnsi="Avenir Oblique"/>
      <w:b/>
      <w:color w:val="000000"/>
      <w:sz w:val="4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NormalWeb">
    <w:name w:val="Normal (Web)"/>
    <w:basedOn w:val="Normal"/>
    <w:uiPriority w:val="99"/>
    <w:rsid w:val="00207114"/>
    <w:pPr>
      <w:spacing w:beforeLines="1" w:afterLines="1"/>
    </w:pPr>
    <w:rPr>
      <w:rFonts w:ascii="Times" w:hAnsi="Times" w:cs="Times New Roman"/>
      <w:b w:val="0"/>
      <w:color w:val="auto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53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26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Macintosh Word</Application>
  <DocSecurity>0</DocSecurity>
  <Lines>20</Lines>
  <Paragraphs>4</Paragraphs>
  <ScaleCrop>false</ScaleCrop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cieszkowski</dc:creator>
  <cp:keywords/>
  <cp:lastModifiedBy>david cieszkowski</cp:lastModifiedBy>
  <cp:revision>1</cp:revision>
  <dcterms:created xsi:type="dcterms:W3CDTF">2019-03-30T20:58:00Z</dcterms:created>
  <dcterms:modified xsi:type="dcterms:W3CDTF">2019-03-30T20:58:00Z</dcterms:modified>
</cp:coreProperties>
</file>