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BD9" w:rsidRPr="00CD6BD9" w:rsidRDefault="00CD6BD9" w:rsidP="00CD6BD9">
      <w:pPr>
        <w:shd w:val="clear" w:color="auto" w:fill="FFFFFF"/>
        <w:outlineLvl w:val="1"/>
        <w:rPr>
          <w:rFonts w:ascii="PTSans" w:hAnsi="PTSans"/>
          <w:bCs/>
          <w:color w:val="006FB7"/>
          <w:sz w:val="56"/>
          <w:szCs w:val="56"/>
          <w:lang w:eastAsia="fr-FR"/>
        </w:rPr>
      </w:pPr>
      <w:r w:rsidRPr="00CD6BD9">
        <w:rPr>
          <w:rFonts w:ascii="PTSans" w:hAnsi="PTSans"/>
          <w:bCs/>
          <w:color w:val="006FB7"/>
          <w:sz w:val="56"/>
          <w:szCs w:val="56"/>
          <w:lang w:eastAsia="fr-FR"/>
        </w:rPr>
        <w:t>Fiches détendeurs</w:t>
      </w:r>
    </w:p>
    <w:p w:rsidR="00CD6BD9" w:rsidRPr="00CD6BD9" w:rsidRDefault="00CD6BD9" w:rsidP="00CD6BD9">
      <w:pPr>
        <w:shd w:val="clear" w:color="auto" w:fill="FFFFFF"/>
        <w:outlineLvl w:val="3"/>
        <w:rPr>
          <w:rFonts w:ascii="PTSans" w:hAnsi="PTSans"/>
          <w:bCs/>
          <w:color w:val="001136"/>
          <w:sz w:val="32"/>
          <w:szCs w:val="32"/>
          <w:lang w:eastAsia="fr-FR"/>
        </w:rPr>
      </w:pPr>
      <w:r w:rsidRPr="00CD6BD9">
        <w:rPr>
          <w:rFonts w:ascii="PTSans" w:hAnsi="PTSans"/>
          <w:bCs/>
          <w:color w:val="001136"/>
          <w:sz w:val="32"/>
          <w:szCs w:val="32"/>
          <w:lang w:eastAsia="fr-FR"/>
        </w:rPr>
        <w:t>Les planches sont établies pour répondre à l'épreuve 14 du MFT 2019.</w:t>
      </w:r>
      <w:r w:rsidRPr="00CD6BD9">
        <w:rPr>
          <w:rFonts w:ascii="PTSans" w:hAnsi="PTSans"/>
          <w:bCs/>
          <w:color w:val="001136"/>
          <w:sz w:val="32"/>
          <w:szCs w:val="32"/>
          <w:lang w:eastAsia="fr-FR"/>
        </w:rPr>
        <w:br/>
        <w:t>Cette épreuve porte sur l’évaluation des connaissances en matériel à partir de planches, de dessins, ou d’éclatés.</w:t>
      </w:r>
    </w:p>
    <w:p w:rsidR="00CD6BD9" w:rsidRPr="00CD6BD9" w:rsidRDefault="00CD6BD9" w:rsidP="00CD6BD9">
      <w:pPr>
        <w:shd w:val="clear" w:color="auto" w:fill="FFFFFF"/>
        <w:outlineLvl w:val="3"/>
        <w:rPr>
          <w:rFonts w:ascii="PTSans" w:hAnsi="PTSans"/>
          <w:bCs/>
          <w:color w:val="001136"/>
          <w:sz w:val="32"/>
          <w:szCs w:val="32"/>
          <w:lang w:eastAsia="fr-FR"/>
        </w:rPr>
      </w:pPr>
      <w:r w:rsidRPr="00CD6BD9">
        <w:rPr>
          <w:rFonts w:ascii="PTSans" w:hAnsi="PTSans"/>
          <w:bCs/>
          <w:color w:val="001136"/>
          <w:sz w:val="32"/>
          <w:szCs w:val="32"/>
          <w:lang w:eastAsia="fr-FR"/>
        </w:rPr>
        <w:t>Bien que les planches devraient être suffisantes, les fiches d'accompagnement constituent des aides destinées aux formateurs et membres du jury. Leur contenu est basé sur le MFT. Des informations complémentaires permettent d'en savoir un peu plus sur les sujets prévus.</w:t>
      </w:r>
    </w:p>
    <w:p w:rsidR="00CD6BD9" w:rsidRPr="00CD6BD9" w:rsidRDefault="00CD6BD9" w:rsidP="00CD6BD9">
      <w:pPr>
        <w:shd w:val="clear" w:color="auto" w:fill="FFFFFF"/>
        <w:outlineLvl w:val="3"/>
        <w:rPr>
          <w:rFonts w:ascii="PTSans" w:hAnsi="PTSans"/>
          <w:bCs/>
          <w:color w:val="001136"/>
          <w:sz w:val="32"/>
          <w:szCs w:val="32"/>
          <w:lang w:eastAsia="fr-FR"/>
        </w:rPr>
      </w:pPr>
      <w:r w:rsidRPr="00CD6BD9">
        <w:rPr>
          <w:rFonts w:ascii="PTSans" w:hAnsi="PTSans"/>
          <w:bCs/>
          <w:color w:val="001136"/>
          <w:sz w:val="32"/>
          <w:szCs w:val="32"/>
          <w:lang w:eastAsia="fr-FR"/>
        </w:rPr>
        <w:t>Le jeu des Questions/Réponses ne va pas au-delà de ce qui est exigé par le MFT. Les fiches permettent de vérifier la pertinence entre les réponses et les questions lors de l'évaluation des connaissances des candidats.</w:t>
      </w:r>
      <w:r w:rsidRPr="00CD6BD9">
        <w:rPr>
          <w:rFonts w:ascii="PTSans" w:hAnsi="PTSans"/>
          <w:bCs/>
          <w:color w:val="001136"/>
          <w:sz w:val="32"/>
          <w:lang w:eastAsia="fr-FR"/>
        </w:rPr>
        <w:t> </w:t>
      </w:r>
      <w:r w:rsidRPr="00CD6BD9">
        <w:rPr>
          <w:rFonts w:ascii="PTSans" w:hAnsi="PTSans"/>
          <w:bCs/>
          <w:color w:val="001136"/>
          <w:sz w:val="32"/>
          <w:szCs w:val="32"/>
          <w:lang w:eastAsia="fr-FR"/>
        </w:rPr>
        <w:t>(Voir les "Commentaires et évaluation" du MFT page suivante) </w:t>
      </w:r>
    </w:p>
    <w:tbl>
      <w:tblPr>
        <w:tblW w:w="0" w:type="auto"/>
        <w:tblInd w:w="-371" w:type="dxa"/>
        <w:tblCellMar>
          <w:left w:w="0" w:type="dxa"/>
          <w:right w:w="0" w:type="dxa"/>
        </w:tblCellMar>
        <w:tblLook w:val="0000"/>
      </w:tblPr>
      <w:tblGrid>
        <w:gridCol w:w="2324"/>
        <w:gridCol w:w="6797"/>
      </w:tblGrid>
      <w:tr w:rsidR="007D373E" w:rsidRPr="00CD6BD9" w:rsidTr="007D373E">
        <w:tc>
          <w:tcPr>
            <w:tcW w:w="2324" w:type="dxa"/>
            <w:tcBorders>
              <w:top w:val="single" w:sz="8" w:space="0" w:color="000000"/>
              <w:left w:val="single" w:sz="8" w:space="0" w:color="000000"/>
              <w:bottom w:val="single" w:sz="8" w:space="0" w:color="000000"/>
              <w:right w:val="nil"/>
            </w:tcBorders>
            <w:shd w:val="clear" w:color="auto" w:fill="auto"/>
            <w:tcMar>
              <w:top w:w="55" w:type="dxa"/>
              <w:left w:w="55" w:type="dxa"/>
              <w:bottom w:w="55" w:type="dxa"/>
              <w:right w:w="55" w:type="dxa"/>
            </w:tcMar>
            <w:vAlign w:val="center"/>
          </w:tcPr>
          <w:p w:rsidR="005513A6"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Connaissances</w:t>
            </w:r>
          </w:p>
        </w:tc>
        <w:tc>
          <w:tcPr>
            <w:tcW w:w="6797" w:type="dxa"/>
            <w:tcBorders>
              <w:top w:val="single" w:sz="8" w:space="0" w:color="000000"/>
              <w:left w:val="single" w:sz="8" w:space="0" w:color="000000"/>
              <w:bottom w:val="single" w:sz="8" w:space="0" w:color="000000"/>
              <w:right w:val="single" w:sz="8" w:space="0" w:color="000000"/>
            </w:tcBorders>
            <w:shd w:val="clear" w:color="auto" w:fill="auto"/>
            <w:tcMar>
              <w:top w:w="55" w:type="dxa"/>
              <w:left w:w="55" w:type="dxa"/>
              <w:bottom w:w="55" w:type="dxa"/>
              <w:right w:w="55" w:type="dxa"/>
            </w:tcMar>
            <w:vAlign w:val="center"/>
          </w:tcPr>
          <w:p w:rsidR="005513A6"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Commentaires et évaluation</w:t>
            </w:r>
          </w:p>
        </w:tc>
      </w:tr>
      <w:tr w:rsidR="007D373E" w:rsidRPr="00CD6BD9" w:rsidTr="007D373E">
        <w:tc>
          <w:tcPr>
            <w:tcW w:w="2324"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center"/>
          </w:tcPr>
          <w:p w:rsidR="005513A6"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Le compresseur.</w:t>
            </w:r>
          </w:p>
        </w:tc>
        <w:tc>
          <w:tcPr>
            <w:tcW w:w="6797" w:type="dxa"/>
            <w:tcBorders>
              <w:top w:val="nil"/>
              <w:left w:val="single" w:sz="8" w:space="0" w:color="000000"/>
              <w:bottom w:val="single" w:sz="8" w:space="0" w:color="000000"/>
              <w:right w:val="single" w:sz="8" w:space="0" w:color="000000"/>
            </w:tcBorders>
            <w:shd w:val="clear" w:color="auto" w:fill="auto"/>
            <w:tcMar>
              <w:top w:w="55" w:type="dxa"/>
              <w:left w:w="55" w:type="dxa"/>
              <w:bottom w:w="55" w:type="dxa"/>
              <w:right w:w="55" w:type="dxa"/>
            </w:tcMar>
            <w:vAlign w:val="center"/>
          </w:tcPr>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Connaître le principe de fonctionnement d’un compresseur :</w:t>
            </w:r>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sym w:font="Symbol" w:char="F0A7"/>
            </w:r>
            <w:r w:rsidRPr="00CD6BD9">
              <w:rPr>
                <w:rFonts w:ascii="PTSans" w:hAnsi="PTSans"/>
                <w:bCs/>
                <w:color w:val="001136"/>
                <w:sz w:val="25"/>
                <w:szCs w:val="25"/>
                <w:lang w:eastAsia="fr-FR"/>
              </w:rPr>
              <w:t xml:space="preserve"> Savoir commenter un schéma de principe et décrire le fonctionnement des différents composants.</w:t>
            </w:r>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sym w:font="Symbol" w:char="F0A7"/>
            </w:r>
            <w:r w:rsidRPr="00CD6BD9">
              <w:rPr>
                <w:rFonts w:ascii="PTSans" w:hAnsi="PTSans"/>
                <w:bCs/>
                <w:color w:val="001136"/>
                <w:sz w:val="25"/>
                <w:szCs w:val="25"/>
                <w:lang w:eastAsia="fr-FR"/>
              </w:rPr>
              <w:t xml:space="preserve"> Connaître la réglementation concernant le gonflage des blocs en toute sécurité</w:t>
            </w:r>
          </w:p>
          <w:p w:rsidR="005513A6"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sym w:font="Symbol" w:char="F0A7"/>
            </w:r>
            <w:r w:rsidRPr="00CD6BD9">
              <w:rPr>
                <w:rFonts w:ascii="PTSans" w:hAnsi="PTSans"/>
                <w:bCs/>
                <w:color w:val="001136"/>
                <w:sz w:val="25"/>
                <w:szCs w:val="25"/>
                <w:lang w:eastAsia="fr-FR"/>
              </w:rPr>
              <w:t xml:space="preserve"> Reconnaître les pannes courantes.</w:t>
            </w:r>
          </w:p>
        </w:tc>
      </w:tr>
      <w:tr w:rsidR="007D373E" w:rsidRPr="00CD6BD9" w:rsidTr="007D373E">
        <w:tc>
          <w:tcPr>
            <w:tcW w:w="2324"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center"/>
          </w:tcPr>
          <w:p w:rsidR="005513A6"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Les blocs de plongée.</w:t>
            </w:r>
          </w:p>
        </w:tc>
        <w:tc>
          <w:tcPr>
            <w:tcW w:w="6797" w:type="dxa"/>
            <w:tcBorders>
              <w:top w:val="nil"/>
              <w:left w:val="single" w:sz="8" w:space="0" w:color="000000"/>
              <w:bottom w:val="single" w:sz="8" w:space="0" w:color="000000"/>
              <w:right w:val="single" w:sz="8" w:space="0" w:color="000000"/>
            </w:tcBorders>
            <w:shd w:val="clear" w:color="auto" w:fill="auto"/>
            <w:tcMar>
              <w:top w:w="55" w:type="dxa"/>
              <w:left w:w="55" w:type="dxa"/>
              <w:bottom w:w="55" w:type="dxa"/>
              <w:right w:w="55" w:type="dxa"/>
            </w:tcMar>
            <w:vAlign w:val="center"/>
          </w:tcPr>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Réglementation concernant l’inspection visuelle et la requalification.</w:t>
            </w:r>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Le robinet de conservation :</w:t>
            </w:r>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sym w:font="Symbol" w:char="F0A7"/>
            </w:r>
            <w:r w:rsidRPr="00CD6BD9">
              <w:rPr>
                <w:rFonts w:ascii="PTSans" w:hAnsi="PTSans"/>
                <w:bCs/>
                <w:color w:val="001136"/>
                <w:sz w:val="25"/>
                <w:szCs w:val="25"/>
                <w:lang w:eastAsia="fr-FR"/>
              </w:rPr>
              <w:t xml:space="preserve"> Savoir décrire son fonctionnement à partir d’un schéma de principe</w:t>
            </w:r>
          </w:p>
          <w:p w:rsidR="005513A6"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sym w:font="Symbol" w:char="F0A7"/>
            </w:r>
            <w:r w:rsidRPr="00CD6BD9">
              <w:rPr>
                <w:rFonts w:ascii="PTSans" w:hAnsi="PTSans"/>
                <w:bCs/>
                <w:color w:val="001136"/>
                <w:sz w:val="25"/>
                <w:szCs w:val="25"/>
                <w:lang w:eastAsia="fr-FR"/>
              </w:rPr>
              <w:t xml:space="preserve"> Précautions d’utilisation et d’entretien</w:t>
            </w:r>
          </w:p>
        </w:tc>
      </w:tr>
      <w:tr w:rsidR="007D373E" w:rsidRPr="00CD6BD9" w:rsidTr="007D373E">
        <w:tc>
          <w:tcPr>
            <w:tcW w:w="2324"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center"/>
          </w:tcPr>
          <w:p w:rsidR="005513A6"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Les détendeurs.</w:t>
            </w:r>
          </w:p>
        </w:tc>
        <w:tc>
          <w:tcPr>
            <w:tcW w:w="6797" w:type="dxa"/>
            <w:tcBorders>
              <w:top w:val="nil"/>
              <w:left w:val="single" w:sz="8" w:space="0" w:color="000000"/>
              <w:bottom w:val="single" w:sz="8" w:space="0" w:color="000000"/>
              <w:right w:val="single" w:sz="8" w:space="0" w:color="000000"/>
            </w:tcBorders>
            <w:shd w:val="clear" w:color="auto" w:fill="auto"/>
            <w:tcMar>
              <w:top w:w="55" w:type="dxa"/>
              <w:left w:w="55" w:type="dxa"/>
              <w:bottom w:w="55" w:type="dxa"/>
              <w:right w:w="55" w:type="dxa"/>
            </w:tcMar>
            <w:vAlign w:val="center"/>
          </w:tcPr>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Connaître les notions élémentaires à la compréhension du fonctionnement d’un détendeur :</w:t>
            </w:r>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0"/>
                <w:szCs w:val="20"/>
                <w:lang w:eastAsia="fr-FR"/>
              </w:rPr>
              <w:sym w:font="Symbol" w:char="F0A7"/>
            </w:r>
            <w:r w:rsidRPr="00CD6BD9">
              <w:rPr>
                <w:rFonts w:ascii="PTSans" w:hAnsi="PTSans"/>
                <w:bCs/>
                <w:color w:val="001136"/>
                <w:sz w:val="20"/>
                <w:szCs w:val="20"/>
                <w:lang w:eastAsia="fr-FR"/>
              </w:rPr>
              <w:t xml:space="preserve"> Siège, clapet. </w:t>
            </w:r>
            <w:hyperlink r:id="rId4" w:history="1">
              <w:r w:rsidRPr="00CD6BD9">
                <w:rPr>
                  <w:rFonts w:ascii="PTSans" w:hAnsi="PTSans"/>
                  <w:bCs/>
                  <w:color w:val="337AB7"/>
                  <w:sz w:val="25"/>
                  <w:u w:val="single"/>
                  <w:lang w:eastAsia="fr-FR"/>
                </w:rPr>
                <w:t>Fiche 01</w:t>
              </w:r>
            </w:hyperlink>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0"/>
                <w:szCs w:val="20"/>
                <w:lang w:eastAsia="fr-FR"/>
              </w:rPr>
              <w:sym w:font="Symbol" w:char="F0A7"/>
            </w:r>
            <w:r w:rsidRPr="00CD6BD9">
              <w:rPr>
                <w:rFonts w:ascii="PTSans" w:hAnsi="PTSans"/>
                <w:bCs/>
                <w:color w:val="001136"/>
                <w:sz w:val="20"/>
                <w:szCs w:val="20"/>
                <w:lang w:eastAsia="fr-FR"/>
              </w:rPr>
              <w:t xml:space="preserve"> Clapet amont, clapet aval. </w:t>
            </w:r>
            <w:hyperlink r:id="rId5" w:history="1">
              <w:r w:rsidRPr="00CD6BD9">
                <w:rPr>
                  <w:rFonts w:ascii="PTSans" w:hAnsi="PTSans"/>
                  <w:bCs/>
                  <w:color w:val="337AB7"/>
                  <w:sz w:val="20"/>
                  <w:szCs w:val="20"/>
                  <w:u w:val="single"/>
                  <w:lang w:eastAsia="fr-FR"/>
                </w:rPr>
                <w:t>Fiche 01</w:t>
              </w:r>
            </w:hyperlink>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0"/>
                <w:szCs w:val="20"/>
                <w:lang w:eastAsia="fr-FR"/>
              </w:rPr>
              <w:sym w:font="Symbol" w:char="F0A7"/>
            </w:r>
            <w:r w:rsidRPr="00CD6BD9">
              <w:rPr>
                <w:rFonts w:ascii="PTSans" w:hAnsi="PTSans"/>
                <w:bCs/>
                <w:color w:val="001136"/>
                <w:sz w:val="20"/>
                <w:szCs w:val="20"/>
                <w:lang w:eastAsia="fr-FR"/>
              </w:rPr>
              <w:t xml:space="preserve"> Haute pression, moyenne pression, pression intermédiaire et pression ambiante </w:t>
            </w:r>
            <w:hyperlink r:id="rId6" w:history="1">
              <w:r w:rsidRPr="00CD6BD9">
                <w:rPr>
                  <w:rFonts w:ascii="PTSans" w:hAnsi="PTSans"/>
                  <w:bCs/>
                  <w:color w:val="337AB7"/>
                  <w:sz w:val="20"/>
                  <w:szCs w:val="20"/>
                  <w:u w:val="single"/>
                  <w:lang w:eastAsia="fr-FR"/>
                </w:rPr>
                <w:t>Fiche 02</w:t>
              </w:r>
            </w:hyperlink>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0"/>
                <w:szCs w:val="20"/>
                <w:lang w:eastAsia="fr-FR"/>
              </w:rPr>
              <w:sym w:font="Symbol" w:char="F0A7"/>
            </w:r>
            <w:r w:rsidRPr="00CD6BD9">
              <w:rPr>
                <w:rFonts w:ascii="PTSans" w:hAnsi="PTSans"/>
                <w:bCs/>
                <w:color w:val="001136"/>
                <w:sz w:val="20"/>
                <w:szCs w:val="20"/>
                <w:lang w:eastAsia="fr-FR"/>
              </w:rPr>
              <w:t xml:space="preserve"> Principe de compensation. </w:t>
            </w:r>
            <w:hyperlink r:id="rId7" w:history="1">
              <w:r w:rsidRPr="00CD6BD9">
                <w:rPr>
                  <w:rFonts w:ascii="PTSans" w:hAnsi="PTSans"/>
                  <w:bCs/>
                  <w:color w:val="337AB7"/>
                  <w:sz w:val="20"/>
                  <w:szCs w:val="20"/>
                  <w:u w:val="single"/>
                  <w:lang w:eastAsia="fr-FR"/>
                </w:rPr>
                <w:t>Fiche 03</w:t>
              </w:r>
            </w:hyperlink>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Savoir décrire, à partir d’un schéma de principe, le fonctionnement :</w:t>
            </w:r>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0"/>
                <w:szCs w:val="20"/>
                <w:lang w:eastAsia="fr-FR"/>
              </w:rPr>
              <w:sym w:font="Symbol" w:char="F0A7"/>
            </w:r>
            <w:r w:rsidRPr="00CD6BD9">
              <w:rPr>
                <w:rFonts w:ascii="PTSans" w:hAnsi="PTSans"/>
                <w:bCs/>
                <w:color w:val="001136"/>
                <w:sz w:val="20"/>
                <w:szCs w:val="20"/>
                <w:lang w:eastAsia="fr-FR"/>
              </w:rPr>
              <w:t xml:space="preserve"> D’un 1er étage à piston simple (non compensé). </w:t>
            </w:r>
            <w:hyperlink r:id="rId8" w:history="1">
              <w:r w:rsidRPr="00CD6BD9">
                <w:rPr>
                  <w:rFonts w:ascii="PTSans" w:hAnsi="PTSans"/>
                  <w:bCs/>
                  <w:color w:val="337AB7"/>
                  <w:sz w:val="20"/>
                  <w:szCs w:val="20"/>
                  <w:u w:val="single"/>
                  <w:lang w:eastAsia="fr-FR"/>
                </w:rPr>
                <w:t>Fiche 04</w:t>
              </w:r>
            </w:hyperlink>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0"/>
                <w:szCs w:val="20"/>
                <w:lang w:eastAsia="fr-FR"/>
              </w:rPr>
              <w:sym w:font="Symbol" w:char="F0A7"/>
            </w:r>
            <w:r w:rsidRPr="00CD6BD9">
              <w:rPr>
                <w:rFonts w:ascii="PTSans" w:hAnsi="PTSans"/>
                <w:bCs/>
                <w:color w:val="001136"/>
                <w:sz w:val="20"/>
                <w:szCs w:val="20"/>
                <w:lang w:eastAsia="fr-FR"/>
              </w:rPr>
              <w:t xml:space="preserve"> D’un 1er étage à piston équilibré (compensé). </w:t>
            </w:r>
            <w:hyperlink r:id="rId9" w:history="1">
              <w:r w:rsidRPr="00CD6BD9">
                <w:rPr>
                  <w:rFonts w:ascii="PTSans" w:hAnsi="PTSans"/>
                  <w:bCs/>
                  <w:color w:val="337AB7"/>
                  <w:sz w:val="20"/>
                  <w:szCs w:val="20"/>
                  <w:u w:val="single"/>
                  <w:lang w:eastAsia="fr-FR"/>
                </w:rPr>
                <w:t>Fiche 05</w:t>
              </w:r>
            </w:hyperlink>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0"/>
                <w:szCs w:val="20"/>
                <w:lang w:eastAsia="fr-FR"/>
              </w:rPr>
              <w:sym w:font="Symbol" w:char="F0A7"/>
            </w:r>
            <w:r w:rsidRPr="00CD6BD9">
              <w:rPr>
                <w:rFonts w:ascii="PTSans" w:hAnsi="PTSans"/>
                <w:bCs/>
                <w:color w:val="001136"/>
                <w:sz w:val="20"/>
                <w:szCs w:val="20"/>
                <w:lang w:eastAsia="fr-FR"/>
              </w:rPr>
              <w:t> </w:t>
            </w:r>
            <w:r w:rsidRPr="00CD6BD9">
              <w:rPr>
                <w:rFonts w:ascii="PTSans" w:hAnsi="PTSans"/>
                <w:bCs/>
                <w:sz w:val="20"/>
                <w:szCs w:val="20"/>
                <w:lang w:eastAsia="fr-FR"/>
              </w:rPr>
              <w:t>D’un 1er étage à membrane équilibrée (compensée).</w:t>
            </w:r>
            <w:r w:rsidRPr="00CD6BD9">
              <w:rPr>
                <w:rFonts w:ascii="PTSans" w:hAnsi="PTSans"/>
                <w:bCs/>
                <w:color w:val="001136"/>
                <w:sz w:val="20"/>
                <w:szCs w:val="20"/>
                <w:lang w:eastAsia="fr-FR"/>
              </w:rPr>
              <w:t> </w:t>
            </w:r>
            <w:hyperlink r:id="rId10" w:history="1">
              <w:r w:rsidRPr="00CD6BD9">
                <w:rPr>
                  <w:rFonts w:ascii="PTSans" w:hAnsi="PTSans"/>
                  <w:bCs/>
                  <w:color w:val="337AB7"/>
                  <w:sz w:val="20"/>
                  <w:szCs w:val="20"/>
                  <w:u w:val="single"/>
                  <w:lang w:eastAsia="fr-FR"/>
                </w:rPr>
                <w:t>Fiche 06</w:t>
              </w:r>
            </w:hyperlink>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0"/>
                <w:szCs w:val="20"/>
                <w:lang w:eastAsia="fr-FR"/>
              </w:rPr>
              <w:sym w:font="Symbol" w:char="F0A7"/>
            </w:r>
            <w:r w:rsidRPr="00CD6BD9">
              <w:rPr>
                <w:rFonts w:ascii="PTSans" w:hAnsi="PTSans"/>
                <w:bCs/>
                <w:color w:val="001136"/>
                <w:sz w:val="20"/>
                <w:szCs w:val="20"/>
                <w:lang w:eastAsia="fr-FR"/>
              </w:rPr>
              <w:t xml:space="preserve"> D’un 2ème étage simple (non compensé). </w:t>
            </w:r>
            <w:hyperlink r:id="rId11" w:history="1">
              <w:r w:rsidRPr="00CD6BD9">
                <w:rPr>
                  <w:rFonts w:ascii="PTSans" w:hAnsi="PTSans"/>
                  <w:bCs/>
                  <w:color w:val="337AB7"/>
                  <w:sz w:val="20"/>
                  <w:szCs w:val="20"/>
                  <w:u w:val="single"/>
                  <w:lang w:eastAsia="fr-FR"/>
                </w:rPr>
                <w:t>Fiche 07</w:t>
              </w:r>
            </w:hyperlink>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0"/>
                <w:szCs w:val="20"/>
                <w:lang w:eastAsia="fr-FR"/>
              </w:rPr>
              <w:sym w:font="Symbol" w:char="F0A7"/>
            </w:r>
            <w:r w:rsidRPr="00CD6BD9">
              <w:rPr>
                <w:rFonts w:ascii="PTSans" w:hAnsi="PTSans"/>
                <w:bCs/>
                <w:color w:val="001136"/>
                <w:sz w:val="20"/>
                <w:szCs w:val="20"/>
                <w:lang w:eastAsia="fr-FR"/>
              </w:rPr>
              <w:t xml:space="preserve"> D’un 2ème étage équilibré (compensé). </w:t>
            </w:r>
            <w:hyperlink r:id="rId12" w:history="1">
              <w:r w:rsidRPr="00CD6BD9">
                <w:rPr>
                  <w:rFonts w:ascii="PTSans" w:hAnsi="PTSans"/>
                  <w:bCs/>
                  <w:color w:val="337AB7"/>
                  <w:sz w:val="20"/>
                  <w:szCs w:val="20"/>
                  <w:u w:val="single"/>
                  <w:lang w:eastAsia="fr-FR"/>
                </w:rPr>
                <w:t>Fiche 08</w:t>
              </w:r>
            </w:hyperlink>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Nb : Le candidat devra pouvoir décrire simplement les forces qui ouvrent et ferment le clapet. Aucune valeur chiffrée ni équation de fonctionnement n’est exigible.</w:t>
            </w:r>
            <w:r w:rsidRPr="00CD6BD9">
              <w:rPr>
                <w:rFonts w:ascii="PTSans" w:hAnsi="PTSans"/>
                <w:bCs/>
                <w:color w:val="001136"/>
                <w:sz w:val="25"/>
                <w:lang w:eastAsia="fr-FR"/>
              </w:rPr>
              <w:t> </w:t>
            </w:r>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Décrire simplement les notions suivantes :</w:t>
            </w:r>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0"/>
                <w:szCs w:val="20"/>
                <w:lang w:eastAsia="fr-FR"/>
              </w:rPr>
              <w:sym w:font="Symbol" w:char="F0A7"/>
            </w:r>
            <w:r w:rsidRPr="00CD6BD9">
              <w:rPr>
                <w:rFonts w:ascii="PTSans" w:hAnsi="PTSans"/>
                <w:bCs/>
                <w:color w:val="001136"/>
                <w:sz w:val="20"/>
                <w:szCs w:val="20"/>
                <w:lang w:eastAsia="fr-FR"/>
              </w:rPr>
              <w:t xml:space="preserve"> au 1er étage : surcompensation. </w:t>
            </w:r>
            <w:r w:rsidRPr="00CD6BD9">
              <w:rPr>
                <w:rFonts w:ascii="PTSans" w:hAnsi="PTSans"/>
                <w:bCs/>
                <w:color w:val="337AB7"/>
                <w:sz w:val="20"/>
                <w:szCs w:val="20"/>
                <w:u w:val="single"/>
                <w:lang w:eastAsia="fr-FR"/>
              </w:rPr>
              <w:t>Fiche 09</w:t>
            </w:r>
          </w:p>
          <w:p w:rsidR="007D373E" w:rsidRDefault="00CD6BD9" w:rsidP="00CD6BD9">
            <w:pPr>
              <w:outlineLvl w:val="3"/>
              <w:rPr>
                <w:rFonts w:ascii="PTSans" w:hAnsi="PTSans"/>
                <w:bCs/>
                <w:color w:val="001136"/>
                <w:sz w:val="20"/>
                <w:szCs w:val="20"/>
                <w:lang w:eastAsia="fr-FR"/>
              </w:rPr>
            </w:pPr>
            <w:r w:rsidRPr="00CD6BD9">
              <w:rPr>
                <w:rFonts w:ascii="PTSans" w:hAnsi="PTSans"/>
                <w:bCs/>
                <w:color w:val="001136"/>
                <w:sz w:val="20"/>
                <w:szCs w:val="20"/>
                <w:lang w:eastAsia="fr-FR"/>
              </w:rPr>
              <w:sym w:font="Symbol" w:char="F0A7"/>
            </w:r>
            <w:r w:rsidRPr="00CD6BD9">
              <w:rPr>
                <w:rFonts w:ascii="PTSans" w:hAnsi="PTSans"/>
                <w:bCs/>
                <w:color w:val="001136"/>
                <w:sz w:val="20"/>
                <w:szCs w:val="20"/>
                <w:lang w:eastAsia="fr-FR"/>
              </w:rPr>
              <w:t xml:space="preserve"> au 2ème étage : réglage de l’effet Venturi </w:t>
            </w:r>
            <w:hyperlink r:id="rId13" w:history="1">
              <w:r w:rsidRPr="00CD6BD9">
                <w:rPr>
                  <w:rFonts w:ascii="PTSans" w:hAnsi="PTSans"/>
                  <w:bCs/>
                  <w:color w:val="337AB7"/>
                  <w:sz w:val="20"/>
                  <w:szCs w:val="20"/>
                  <w:u w:val="single"/>
                  <w:lang w:eastAsia="fr-FR"/>
                </w:rPr>
                <w:t>Fiche 10</w:t>
              </w:r>
            </w:hyperlink>
            <w:proofErr w:type="gramStart"/>
            <w:r w:rsidRPr="00CD6BD9">
              <w:rPr>
                <w:rFonts w:ascii="PTSans" w:hAnsi="PTSans"/>
                <w:bCs/>
                <w:color w:val="001136"/>
                <w:sz w:val="20"/>
                <w:szCs w:val="20"/>
                <w:lang w:eastAsia="fr-FR"/>
              </w:rPr>
              <w:t> ,</w:t>
            </w:r>
            <w:proofErr w:type="gramEnd"/>
          </w:p>
          <w:p w:rsidR="00CD6BD9" w:rsidRPr="00CD6BD9" w:rsidRDefault="007D373E" w:rsidP="00CD6BD9">
            <w:pPr>
              <w:outlineLvl w:val="3"/>
              <w:rPr>
                <w:rFonts w:ascii="PTSans" w:hAnsi="PTSans"/>
                <w:bCs/>
                <w:color w:val="001136"/>
                <w:sz w:val="25"/>
                <w:szCs w:val="25"/>
                <w:lang w:eastAsia="fr-FR"/>
              </w:rPr>
            </w:pPr>
            <w:r>
              <w:rPr>
                <w:rFonts w:ascii="PTSans" w:hAnsi="PTSans"/>
                <w:bCs/>
                <w:color w:val="001136"/>
                <w:sz w:val="20"/>
                <w:szCs w:val="20"/>
                <w:lang w:eastAsia="fr-FR"/>
              </w:rPr>
              <w:t xml:space="preserve"> effet </w:t>
            </w:r>
            <w:r w:rsidR="00CD6BD9" w:rsidRPr="00CD6BD9">
              <w:rPr>
                <w:rFonts w:ascii="PTSans" w:hAnsi="PTSans"/>
                <w:bCs/>
                <w:color w:val="001136"/>
                <w:sz w:val="20"/>
                <w:szCs w:val="20"/>
                <w:lang w:eastAsia="fr-FR"/>
              </w:rPr>
              <w:t>Vortex.</w:t>
            </w:r>
            <w:r>
              <w:rPr>
                <w:rFonts w:ascii="PTSans" w:hAnsi="PTSans"/>
                <w:bCs/>
                <w:color w:val="001136"/>
                <w:sz w:val="20"/>
                <w:szCs w:val="20"/>
                <w:lang w:eastAsia="fr-FR"/>
              </w:rPr>
              <w:t xml:space="preserve"> </w:t>
            </w:r>
            <w:hyperlink r:id="rId14" w:history="1">
              <w:r w:rsidR="00CD6BD9" w:rsidRPr="00CD6BD9">
                <w:rPr>
                  <w:rFonts w:ascii="PTSans" w:hAnsi="PTSans"/>
                  <w:bCs/>
                  <w:color w:val="337AB7"/>
                  <w:sz w:val="20"/>
                  <w:szCs w:val="20"/>
                  <w:u w:val="single"/>
                  <w:lang w:eastAsia="fr-FR"/>
                </w:rPr>
                <w:t>Fiche 11</w:t>
              </w:r>
            </w:hyperlink>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Nb : Le candidat devra pouvoir décrire simplement les avantages supposés de ces améliorations en s’appuyant éventuellement sur un schéma de principe. Aucune valeur chiffrée, ni équation de fonctionnement n’est exigible.</w:t>
            </w:r>
          </w:p>
          <w:p w:rsidR="005513A6" w:rsidRPr="00CD6BD9" w:rsidRDefault="00CD6BD9" w:rsidP="007D373E">
            <w:pPr>
              <w:ind w:left="173" w:firstLine="173"/>
              <w:outlineLvl w:val="3"/>
              <w:rPr>
                <w:rFonts w:ascii="PTSans" w:hAnsi="PTSans"/>
                <w:bCs/>
                <w:color w:val="001136"/>
                <w:sz w:val="25"/>
                <w:szCs w:val="25"/>
                <w:lang w:eastAsia="fr-FR"/>
              </w:rPr>
            </w:pPr>
            <w:r w:rsidRPr="00CD6BD9">
              <w:rPr>
                <w:rFonts w:ascii="PTSans" w:hAnsi="PTSans"/>
                <w:bCs/>
                <w:color w:val="001136"/>
                <w:sz w:val="25"/>
                <w:szCs w:val="25"/>
                <w:lang w:eastAsia="fr-FR"/>
              </w:rPr>
              <w:sym w:font="Symbol" w:char="F0A7"/>
            </w:r>
            <w:r w:rsidRPr="00CD6BD9">
              <w:rPr>
                <w:rFonts w:ascii="PTSans" w:hAnsi="PTSans"/>
                <w:bCs/>
                <w:color w:val="001136"/>
                <w:sz w:val="25"/>
                <w:szCs w:val="25"/>
                <w:lang w:eastAsia="fr-FR"/>
              </w:rPr>
              <w:t xml:space="preserve"> Givrage des détendeurs : facteurs favorisants et prévention.</w:t>
            </w:r>
            <w:r w:rsidRPr="00CD6BD9">
              <w:rPr>
                <w:rFonts w:ascii="PTSans" w:hAnsi="PTSans"/>
                <w:bCs/>
                <w:color w:val="001136"/>
                <w:sz w:val="25"/>
                <w:lang w:eastAsia="fr-FR"/>
              </w:rPr>
              <w:t> </w:t>
            </w:r>
            <w:hyperlink r:id="rId15" w:anchor="Fiche%2012" w:history="1">
              <w:r w:rsidRPr="00CD6BD9">
                <w:rPr>
                  <w:rFonts w:ascii="PTSans" w:hAnsi="PTSans"/>
                  <w:bCs/>
                  <w:color w:val="337AB7"/>
                  <w:sz w:val="20"/>
                  <w:szCs w:val="20"/>
                  <w:lang w:eastAsia="fr-FR"/>
                </w:rPr>
                <w:t>Fiche </w:t>
              </w:r>
            </w:hyperlink>
            <w:hyperlink r:id="rId16" w:anchor="Fiche%2012" w:history="1">
              <w:r w:rsidRPr="00CD6BD9">
                <w:rPr>
                  <w:rFonts w:ascii="PTSans" w:hAnsi="PTSans"/>
                  <w:bCs/>
                  <w:color w:val="337AB7"/>
                  <w:sz w:val="20"/>
                  <w:szCs w:val="20"/>
                  <w:lang w:eastAsia="fr-FR"/>
                </w:rPr>
                <w:t>12</w:t>
              </w:r>
            </w:hyperlink>
          </w:p>
        </w:tc>
      </w:tr>
      <w:tr w:rsidR="007D373E" w:rsidRPr="00CD6BD9" w:rsidTr="007D373E">
        <w:tc>
          <w:tcPr>
            <w:tcW w:w="2324"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center"/>
          </w:tcPr>
          <w:p w:rsidR="005513A6"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Le manomètre immergeable.</w:t>
            </w:r>
          </w:p>
        </w:tc>
        <w:tc>
          <w:tcPr>
            <w:tcW w:w="6797" w:type="dxa"/>
            <w:tcBorders>
              <w:top w:val="nil"/>
              <w:left w:val="single" w:sz="8" w:space="0" w:color="000000"/>
              <w:bottom w:val="single" w:sz="8" w:space="0" w:color="000000"/>
              <w:right w:val="single" w:sz="8" w:space="0" w:color="000000"/>
            </w:tcBorders>
            <w:shd w:val="clear" w:color="auto" w:fill="auto"/>
            <w:tcMar>
              <w:top w:w="55" w:type="dxa"/>
              <w:left w:w="55" w:type="dxa"/>
              <w:bottom w:w="55" w:type="dxa"/>
              <w:right w:w="55" w:type="dxa"/>
            </w:tcMar>
            <w:vAlign w:val="center"/>
          </w:tcPr>
          <w:p w:rsidR="005513A6"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sym w:font="Symbol" w:char="F0A7"/>
            </w:r>
            <w:r w:rsidRPr="00CD6BD9">
              <w:rPr>
                <w:rFonts w:ascii="PTSans" w:hAnsi="PTSans"/>
                <w:bCs/>
                <w:color w:val="001136"/>
                <w:sz w:val="25"/>
                <w:szCs w:val="25"/>
                <w:lang w:eastAsia="fr-FR"/>
              </w:rPr>
              <w:t xml:space="preserve"> Principe de fonctionnement.</w:t>
            </w:r>
          </w:p>
        </w:tc>
      </w:tr>
      <w:tr w:rsidR="007D373E" w:rsidRPr="00CD6BD9" w:rsidTr="007D373E">
        <w:tc>
          <w:tcPr>
            <w:tcW w:w="2324"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center"/>
          </w:tcPr>
          <w:p w:rsidR="005513A6"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Le gilet stabilisateur.</w:t>
            </w:r>
          </w:p>
        </w:tc>
        <w:tc>
          <w:tcPr>
            <w:tcW w:w="6797" w:type="dxa"/>
            <w:tcBorders>
              <w:top w:val="nil"/>
              <w:left w:val="single" w:sz="8" w:space="0" w:color="000000"/>
              <w:bottom w:val="single" w:sz="8" w:space="0" w:color="000000"/>
              <w:right w:val="single" w:sz="8" w:space="0" w:color="000000"/>
            </w:tcBorders>
            <w:shd w:val="clear" w:color="auto" w:fill="auto"/>
            <w:tcMar>
              <w:top w:w="55" w:type="dxa"/>
              <w:left w:w="55" w:type="dxa"/>
              <w:bottom w:w="55" w:type="dxa"/>
              <w:right w:w="55" w:type="dxa"/>
            </w:tcMar>
            <w:vAlign w:val="center"/>
          </w:tcPr>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sym w:font="Symbol" w:char="F0A7"/>
            </w:r>
            <w:r w:rsidRPr="00CD6BD9">
              <w:rPr>
                <w:rFonts w:ascii="PTSans" w:hAnsi="PTSans"/>
                <w:bCs/>
                <w:color w:val="001136"/>
                <w:sz w:val="25"/>
                <w:szCs w:val="25"/>
                <w:lang w:eastAsia="fr-FR"/>
              </w:rPr>
              <w:t xml:space="preserve"> Différents modèles : enveloppantes, dorsales.</w:t>
            </w:r>
          </w:p>
          <w:p w:rsidR="005513A6"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sym w:font="Symbol" w:char="F0A7"/>
            </w:r>
            <w:r w:rsidRPr="00CD6BD9">
              <w:rPr>
                <w:rFonts w:ascii="PTSans" w:hAnsi="PTSans"/>
                <w:bCs/>
                <w:color w:val="001136"/>
                <w:sz w:val="25"/>
                <w:szCs w:val="25"/>
                <w:lang w:eastAsia="fr-FR"/>
              </w:rPr>
              <w:t xml:space="preserve"> Adaptation du gilet utilisé selon la pratique.</w:t>
            </w:r>
          </w:p>
        </w:tc>
      </w:tr>
      <w:tr w:rsidR="007D373E" w:rsidRPr="00CD6BD9" w:rsidTr="007D373E">
        <w:tc>
          <w:tcPr>
            <w:tcW w:w="2324" w:type="dxa"/>
            <w:tcBorders>
              <w:top w:val="nil"/>
              <w:left w:val="single" w:sz="8" w:space="0" w:color="000000"/>
              <w:bottom w:val="single" w:sz="8" w:space="0" w:color="000000"/>
              <w:right w:val="nil"/>
            </w:tcBorders>
            <w:shd w:val="clear" w:color="auto" w:fill="auto"/>
            <w:tcMar>
              <w:top w:w="55" w:type="dxa"/>
              <w:left w:w="55" w:type="dxa"/>
              <w:bottom w:w="55" w:type="dxa"/>
              <w:right w:w="55" w:type="dxa"/>
            </w:tcMar>
            <w:vAlign w:val="center"/>
          </w:tcPr>
          <w:p w:rsidR="005513A6"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t>L’ordinateur de plongée.</w:t>
            </w:r>
          </w:p>
        </w:tc>
        <w:tc>
          <w:tcPr>
            <w:tcW w:w="6797" w:type="dxa"/>
            <w:tcBorders>
              <w:top w:val="nil"/>
              <w:left w:val="single" w:sz="8" w:space="0" w:color="000000"/>
              <w:bottom w:val="single" w:sz="8" w:space="0" w:color="000000"/>
              <w:right w:val="single" w:sz="8" w:space="0" w:color="000000"/>
            </w:tcBorders>
            <w:shd w:val="clear" w:color="auto" w:fill="auto"/>
            <w:tcMar>
              <w:top w:w="55" w:type="dxa"/>
              <w:left w:w="55" w:type="dxa"/>
              <w:bottom w:w="55" w:type="dxa"/>
              <w:right w:w="55" w:type="dxa"/>
            </w:tcMar>
            <w:vAlign w:val="center"/>
          </w:tcPr>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sym w:font="Symbol" w:char="F0A7"/>
            </w:r>
            <w:r w:rsidRPr="00CD6BD9">
              <w:rPr>
                <w:rFonts w:ascii="PTSans" w:hAnsi="PTSans"/>
                <w:bCs/>
                <w:color w:val="001136"/>
                <w:sz w:val="25"/>
                <w:szCs w:val="25"/>
                <w:lang w:eastAsia="fr-FR"/>
              </w:rPr>
              <w:t xml:space="preserve"> Principes simples de fonctionnement. Aucune notion d’informatique ou d’électronique n’est exigible.</w:t>
            </w:r>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sym w:font="Symbol" w:char="F0A7"/>
            </w:r>
            <w:r w:rsidRPr="00CD6BD9">
              <w:rPr>
                <w:rFonts w:ascii="PTSans" w:hAnsi="PTSans"/>
                <w:bCs/>
                <w:color w:val="001136"/>
                <w:sz w:val="25"/>
                <w:szCs w:val="25"/>
                <w:lang w:eastAsia="fr-FR"/>
              </w:rPr>
              <w:t xml:space="preserve"> Différences de calcul entre une table et un ordinateur (Nb : les différents algorithmes sont développés dans le chapitre décompression).</w:t>
            </w:r>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sym w:font="Symbol" w:char="F0A7"/>
            </w:r>
            <w:r w:rsidRPr="00CD6BD9">
              <w:rPr>
                <w:rFonts w:ascii="PTSans" w:hAnsi="PTSans"/>
                <w:bCs/>
                <w:color w:val="001136"/>
                <w:sz w:val="25"/>
                <w:szCs w:val="25"/>
                <w:lang w:eastAsia="fr-FR"/>
              </w:rPr>
              <w:t xml:space="preserve"> Différents réglages et conséquences en plongée : durcissement, paliers spécifiques (paliers profonds, de principe, etc.), mode planification, utilisation de mélanges, affichage de la pression résiduelle du bloc, etc.</w:t>
            </w:r>
          </w:p>
          <w:p w:rsidR="00CD6BD9"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sym w:font="Symbol" w:char="F0A7"/>
            </w:r>
            <w:r w:rsidRPr="00CD6BD9">
              <w:rPr>
                <w:rFonts w:ascii="PTSans" w:hAnsi="PTSans"/>
                <w:bCs/>
                <w:color w:val="001136"/>
                <w:sz w:val="25"/>
                <w:szCs w:val="25"/>
                <w:lang w:eastAsia="fr-FR"/>
              </w:rPr>
              <w:t xml:space="preserve"> Le candidat doit être capable de décrire les fonctions de son propre ordinateur et justifier ses critères de choix.</w:t>
            </w:r>
          </w:p>
          <w:p w:rsidR="005513A6" w:rsidRPr="00CD6BD9" w:rsidRDefault="00CD6BD9" w:rsidP="00CD6BD9">
            <w:pPr>
              <w:outlineLvl w:val="3"/>
              <w:rPr>
                <w:rFonts w:ascii="PTSans" w:hAnsi="PTSans"/>
                <w:bCs/>
                <w:color w:val="001136"/>
                <w:sz w:val="25"/>
                <w:szCs w:val="25"/>
                <w:lang w:eastAsia="fr-FR"/>
              </w:rPr>
            </w:pPr>
            <w:r w:rsidRPr="00CD6BD9">
              <w:rPr>
                <w:rFonts w:ascii="PTSans" w:hAnsi="PTSans"/>
                <w:bCs/>
                <w:color w:val="001136"/>
                <w:sz w:val="25"/>
                <w:szCs w:val="25"/>
                <w:lang w:eastAsia="fr-FR"/>
              </w:rPr>
              <w:sym w:font="Symbol" w:char="F0A7"/>
            </w:r>
            <w:r w:rsidRPr="00CD6BD9">
              <w:rPr>
                <w:rFonts w:ascii="PTSans" w:hAnsi="PTSans"/>
                <w:bCs/>
                <w:color w:val="001136"/>
                <w:sz w:val="25"/>
                <w:szCs w:val="25"/>
                <w:lang w:eastAsia="fr-FR"/>
              </w:rPr>
              <w:t xml:space="preserve"> Le candidat doit être capable de lire les écrans des ordinateurs courants.</w:t>
            </w:r>
          </w:p>
        </w:tc>
      </w:tr>
    </w:tbl>
    <w:p w:rsidR="00CD6BD9" w:rsidRPr="00CD6BD9" w:rsidRDefault="00CD6BD9" w:rsidP="00CD6BD9">
      <w:pPr>
        <w:shd w:val="clear" w:color="auto" w:fill="FFFFFF"/>
        <w:jc w:val="both"/>
        <w:rPr>
          <w:rFonts w:ascii="PTSans" w:hAnsi="PTSans" w:cs="Times New Roman"/>
          <w:b w:val="0"/>
          <w:sz w:val="26"/>
          <w:szCs w:val="26"/>
          <w:lang w:eastAsia="fr-FR"/>
        </w:rPr>
      </w:pPr>
      <w:r w:rsidRPr="00CD6BD9">
        <w:rPr>
          <w:rFonts w:ascii="PTSans" w:hAnsi="PTSans" w:cs="Times New Roman"/>
          <w:b w:val="0"/>
          <w:sz w:val="26"/>
          <w:szCs w:val="26"/>
          <w:lang w:eastAsia="fr-FR"/>
        </w:rPr>
        <w:t> </w:t>
      </w:r>
    </w:p>
    <w:p w:rsidR="00CD6BD9" w:rsidRPr="00CD6BD9" w:rsidRDefault="00CD6BD9" w:rsidP="00CD6BD9">
      <w:pPr>
        <w:shd w:val="clear" w:color="auto" w:fill="FFFFFF"/>
        <w:outlineLvl w:val="2"/>
        <w:rPr>
          <w:rFonts w:ascii="PTSans" w:hAnsi="PTSans"/>
          <w:b w:val="0"/>
          <w:color w:val="006FB7"/>
          <w:szCs w:val="44"/>
          <w:lang w:eastAsia="fr-FR"/>
        </w:rPr>
      </w:pPr>
      <w:r w:rsidRPr="00CD6BD9">
        <w:rPr>
          <w:rFonts w:ascii="PTSans" w:hAnsi="PTSans"/>
          <w:b w:val="0"/>
          <w:color w:val="006FB7"/>
          <w:szCs w:val="44"/>
          <w:lang w:eastAsia="fr-FR"/>
        </w:rPr>
        <w:t>Les Packages :</w:t>
      </w:r>
      <w:r w:rsidRPr="00CD6BD9">
        <w:rPr>
          <w:rFonts w:ascii="PTSans" w:hAnsi="PTSans"/>
          <w:b w:val="0"/>
          <w:color w:val="006FB7"/>
          <w:lang w:eastAsia="fr-FR"/>
        </w:rPr>
        <w:t> </w:t>
      </w:r>
    </w:p>
    <w:tbl>
      <w:tblPr>
        <w:tblW w:w="0" w:type="auto"/>
        <w:tblCellMar>
          <w:top w:w="15" w:type="dxa"/>
          <w:left w:w="15" w:type="dxa"/>
          <w:bottom w:w="15" w:type="dxa"/>
          <w:right w:w="15" w:type="dxa"/>
        </w:tblCellMar>
        <w:tblLook w:val="0000"/>
      </w:tblPr>
      <w:tblGrid>
        <w:gridCol w:w="7019"/>
        <w:gridCol w:w="480"/>
      </w:tblGrid>
      <w:tr w:rsidR="00CD6BD9" w:rsidRPr="00CD6BD9">
        <w:tc>
          <w:tcPr>
            <w:tcW w:w="0" w:type="auto"/>
            <w:shd w:val="clear" w:color="auto" w:fill="auto"/>
            <w:tcMar>
              <w:top w:w="0" w:type="dxa"/>
              <w:left w:w="0" w:type="dxa"/>
              <w:bottom w:w="0" w:type="dxa"/>
              <w:right w:w="0" w:type="dxa"/>
            </w:tcMar>
            <w:vAlign w:val="center"/>
          </w:tcPr>
          <w:p w:rsidR="005513A6" w:rsidRPr="00CD6BD9" w:rsidRDefault="00CD6BD9" w:rsidP="00CD6BD9">
            <w:pPr>
              <w:outlineLvl w:val="2"/>
              <w:rPr>
                <w:rFonts w:ascii="PTSans" w:hAnsi="PTSans"/>
                <w:b w:val="0"/>
                <w:color w:val="006FB7"/>
                <w:sz w:val="34"/>
                <w:szCs w:val="34"/>
                <w:lang w:eastAsia="fr-FR"/>
              </w:rPr>
            </w:pPr>
            <w:r w:rsidRPr="00CD6BD9">
              <w:rPr>
                <w:rFonts w:ascii="PTSans" w:hAnsi="PTSans"/>
                <w:b w:val="0"/>
                <w:color w:val="006FB7"/>
                <w:sz w:val="34"/>
                <w:szCs w:val="34"/>
                <w:lang w:eastAsia="fr-FR"/>
              </w:rPr>
              <w:t>Package des Fiches Détendeurs (Annoté)</w:t>
            </w:r>
          </w:p>
        </w:tc>
        <w:tc>
          <w:tcPr>
            <w:tcW w:w="0" w:type="auto"/>
            <w:shd w:val="clear" w:color="auto" w:fill="auto"/>
            <w:tcMar>
              <w:top w:w="0" w:type="dxa"/>
              <w:left w:w="0" w:type="dxa"/>
              <w:bottom w:w="0" w:type="dxa"/>
              <w:right w:w="0" w:type="dxa"/>
            </w:tcMar>
            <w:vAlign w:val="center"/>
          </w:tcPr>
          <w:p w:rsidR="00CD6BD9" w:rsidRPr="00CD6BD9" w:rsidRDefault="005513A6" w:rsidP="00CD6BD9">
            <w:pPr>
              <w:rPr>
                <w:rFonts w:ascii="Times" w:hAnsi="Times"/>
                <w:b w:val="0"/>
                <w:color w:val="auto"/>
                <w:sz w:val="20"/>
                <w:szCs w:val="20"/>
                <w:lang w:eastAsia="fr-FR"/>
              </w:rPr>
            </w:pPr>
            <w:hyperlink r:id="rId17" w:history="1">
              <w:r w:rsidRPr="005513A6">
                <w:rPr>
                  <w:rFonts w:ascii="PTSans" w:hAnsi="PTSans"/>
                  <w:b w:val="0"/>
                  <w:color w:val="337AB7"/>
                  <w:sz w:val="20"/>
                  <w:szCs w:val="20"/>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href="https://www.cibpl.fr/wpFichiers/1/1/Ressources/File/PLONGEE-SOUS-MARINE/APPROFONDIR/NIVEAU-4/Materiel/FichesDetendeurs-Annotees.zip" style="width:24pt;height:24pt" o:button="t"/>
                </w:pict>
              </w:r>
            </w:hyperlink>
          </w:p>
        </w:tc>
      </w:tr>
      <w:tr w:rsidR="00CD6BD9" w:rsidRPr="00CD6BD9">
        <w:tc>
          <w:tcPr>
            <w:tcW w:w="0" w:type="auto"/>
            <w:shd w:val="clear" w:color="auto" w:fill="auto"/>
            <w:tcMar>
              <w:top w:w="0" w:type="dxa"/>
              <w:left w:w="0" w:type="dxa"/>
              <w:bottom w:w="0" w:type="dxa"/>
              <w:right w:w="0" w:type="dxa"/>
            </w:tcMar>
            <w:vAlign w:val="center"/>
          </w:tcPr>
          <w:p w:rsidR="005513A6" w:rsidRPr="00CD6BD9" w:rsidRDefault="00CD6BD9" w:rsidP="00CD6BD9">
            <w:pPr>
              <w:outlineLvl w:val="2"/>
              <w:rPr>
                <w:rFonts w:ascii="PTSans" w:hAnsi="PTSans"/>
                <w:b w:val="0"/>
                <w:color w:val="006FB7"/>
                <w:sz w:val="34"/>
                <w:szCs w:val="34"/>
                <w:lang w:eastAsia="fr-FR"/>
              </w:rPr>
            </w:pPr>
            <w:r w:rsidRPr="00CD6BD9">
              <w:rPr>
                <w:rFonts w:ascii="PTSans" w:hAnsi="PTSans"/>
                <w:b w:val="0"/>
                <w:color w:val="006FB7"/>
                <w:sz w:val="34"/>
                <w:szCs w:val="34"/>
                <w:lang w:eastAsia="fr-FR"/>
              </w:rPr>
              <w:t>Package des Fiches Détendeurs (Non Annoté)</w:t>
            </w:r>
          </w:p>
        </w:tc>
        <w:tc>
          <w:tcPr>
            <w:tcW w:w="0" w:type="auto"/>
            <w:shd w:val="clear" w:color="auto" w:fill="auto"/>
            <w:tcMar>
              <w:top w:w="0" w:type="dxa"/>
              <w:left w:w="0" w:type="dxa"/>
              <w:bottom w:w="0" w:type="dxa"/>
              <w:right w:w="0" w:type="dxa"/>
            </w:tcMar>
            <w:vAlign w:val="center"/>
          </w:tcPr>
          <w:p w:rsidR="00CD6BD9" w:rsidRPr="00CD6BD9" w:rsidRDefault="005513A6" w:rsidP="00CD6BD9">
            <w:pPr>
              <w:rPr>
                <w:rFonts w:ascii="Times" w:hAnsi="Times"/>
                <w:b w:val="0"/>
                <w:color w:val="auto"/>
                <w:sz w:val="20"/>
                <w:szCs w:val="20"/>
                <w:lang w:eastAsia="fr-FR"/>
              </w:rPr>
            </w:pPr>
            <w:hyperlink r:id="rId18" w:history="1">
              <w:r w:rsidRPr="005513A6">
                <w:rPr>
                  <w:rFonts w:ascii="PTSans" w:hAnsi="PTSans"/>
                  <w:b w:val="0"/>
                  <w:color w:val="337AB7"/>
                  <w:sz w:val="20"/>
                  <w:szCs w:val="20"/>
                  <w:lang w:eastAsia="fr-FR"/>
                </w:rPr>
                <w:pict>
                  <v:shape id="_x0000_i1026" type="#_x0000_t75" alt="" href="https://www.cibpl.fr/wpFichiers/1/1/Ressources/File/PLONGEE-SOUS-MARINE/APPROFONDIR/NIVEAU-4/Materiel/FichesDetendeurs-NonAnnotees.zip" style="width:24pt;height:24pt" o:button="t"/>
                </w:pict>
              </w:r>
            </w:hyperlink>
          </w:p>
        </w:tc>
      </w:tr>
    </w:tbl>
    <w:p w:rsidR="00CD6BD9" w:rsidRPr="00CD6BD9" w:rsidRDefault="00CD6BD9" w:rsidP="00CD6BD9">
      <w:pPr>
        <w:rPr>
          <w:rFonts w:ascii="Helvetica Neue" w:hAnsi="Helvetica Neue"/>
          <w:b w:val="0"/>
          <w:color w:val="333333"/>
          <w:sz w:val="20"/>
          <w:szCs w:val="20"/>
          <w:lang w:eastAsia="fr-FR"/>
        </w:rPr>
      </w:pPr>
    </w:p>
    <w:p w:rsidR="00444E32" w:rsidRDefault="007D373E"/>
    <w:sectPr w:rsidR="00444E32" w:rsidSect="00642829">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venir Oblique">
    <w:panose1 w:val="020B0503020203090204"/>
    <w:charset w:val="00"/>
    <w:family w:val="auto"/>
    <w:pitch w:val="variable"/>
    <w:sig w:usb0="00000003" w:usb1="00000000" w:usb2="00000000" w:usb3="00000000" w:csb0="00000001" w:csb1="00000000"/>
  </w:font>
  <w:font w:name="Times">
    <w:altName w:val="Times Roman"/>
    <w:panose1 w:val="02000500000000000000"/>
    <w:charset w:val="4D"/>
    <w:family w:val="roman"/>
    <w:notTrueType/>
    <w:pitch w:val="variable"/>
    <w:sig w:usb0="00000003" w:usb1="00000000" w:usb2="00000000" w:usb3="00000000" w:csb0="00000001" w:csb1="00000000"/>
  </w:font>
  <w:font w:name="PTSans">
    <w:altName w:val="Avenir Oblique"/>
    <w:panose1 w:val="00000000000000000000"/>
    <w:charset w:val="4D"/>
    <w:family w:val="roman"/>
    <w:notTrueType/>
    <w:pitch w:val="default"/>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D6BD9"/>
    <w:rsid w:val="005513A6"/>
    <w:rsid w:val="007D373E"/>
    <w:rsid w:val="00CD6BD9"/>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E32"/>
    <w:rPr>
      <w:rFonts w:ascii="Avenir Oblique" w:hAnsi="Avenir Oblique"/>
      <w:b/>
      <w:color w:val="000000"/>
      <w:sz w:val="44"/>
    </w:rPr>
  </w:style>
  <w:style w:type="paragraph" w:styleId="Titre2">
    <w:name w:val="heading 2"/>
    <w:basedOn w:val="Normal"/>
    <w:link w:val="Titre2Car"/>
    <w:uiPriority w:val="9"/>
    <w:rsid w:val="00CD6BD9"/>
    <w:pPr>
      <w:spacing w:beforeLines="1" w:afterLines="1"/>
      <w:outlineLvl w:val="1"/>
    </w:pPr>
    <w:rPr>
      <w:rFonts w:ascii="Times" w:hAnsi="Times"/>
      <w:color w:val="auto"/>
      <w:sz w:val="36"/>
      <w:szCs w:val="20"/>
      <w:lang w:eastAsia="fr-FR"/>
    </w:rPr>
  </w:style>
  <w:style w:type="paragraph" w:styleId="Titre3">
    <w:name w:val="heading 3"/>
    <w:basedOn w:val="Normal"/>
    <w:link w:val="Titre3Car"/>
    <w:uiPriority w:val="9"/>
    <w:rsid w:val="00CD6BD9"/>
    <w:pPr>
      <w:spacing w:beforeLines="1" w:afterLines="1"/>
      <w:outlineLvl w:val="2"/>
    </w:pPr>
    <w:rPr>
      <w:rFonts w:ascii="Times" w:hAnsi="Times"/>
      <w:color w:val="auto"/>
      <w:sz w:val="27"/>
      <w:szCs w:val="20"/>
      <w:lang w:eastAsia="fr-FR"/>
    </w:rPr>
  </w:style>
  <w:style w:type="paragraph" w:styleId="Titre4">
    <w:name w:val="heading 4"/>
    <w:basedOn w:val="Normal"/>
    <w:link w:val="Titre4Car"/>
    <w:uiPriority w:val="9"/>
    <w:rsid w:val="00CD6BD9"/>
    <w:pPr>
      <w:spacing w:beforeLines="1" w:afterLines="1"/>
      <w:outlineLvl w:val="3"/>
    </w:pPr>
    <w:rPr>
      <w:rFonts w:ascii="Times" w:hAnsi="Times"/>
      <w:color w:val="auto"/>
      <w:sz w:val="24"/>
      <w:szCs w:val="20"/>
      <w:lang w:eastAsia="fr-FR"/>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Titre2Car">
    <w:name w:val="Titre 2 Car"/>
    <w:basedOn w:val="Policepardfaut"/>
    <w:link w:val="Titre2"/>
    <w:uiPriority w:val="9"/>
    <w:rsid w:val="00CD6BD9"/>
    <w:rPr>
      <w:rFonts w:ascii="Times" w:hAnsi="Times"/>
      <w:b/>
      <w:sz w:val="36"/>
      <w:szCs w:val="20"/>
      <w:lang w:eastAsia="fr-FR"/>
    </w:rPr>
  </w:style>
  <w:style w:type="character" w:customStyle="1" w:styleId="Titre3Car">
    <w:name w:val="Titre 3 Car"/>
    <w:basedOn w:val="Policepardfaut"/>
    <w:link w:val="Titre3"/>
    <w:uiPriority w:val="9"/>
    <w:rsid w:val="00CD6BD9"/>
    <w:rPr>
      <w:rFonts w:ascii="Times" w:hAnsi="Times"/>
      <w:b/>
      <w:sz w:val="27"/>
      <w:szCs w:val="20"/>
      <w:lang w:eastAsia="fr-FR"/>
    </w:rPr>
  </w:style>
  <w:style w:type="character" w:customStyle="1" w:styleId="Titre4Car">
    <w:name w:val="Titre 4 Car"/>
    <w:basedOn w:val="Policepardfaut"/>
    <w:link w:val="Titre4"/>
    <w:uiPriority w:val="9"/>
    <w:rsid w:val="00CD6BD9"/>
    <w:rPr>
      <w:rFonts w:ascii="Times" w:hAnsi="Times"/>
      <w:b/>
      <w:szCs w:val="20"/>
      <w:lang w:eastAsia="fr-FR"/>
    </w:rPr>
  </w:style>
  <w:style w:type="character" w:styleId="Accentuation">
    <w:name w:val="Emphasis"/>
    <w:basedOn w:val="Policepardfaut"/>
    <w:uiPriority w:val="20"/>
    <w:rsid w:val="00CD6BD9"/>
    <w:rPr>
      <w:i/>
    </w:rPr>
  </w:style>
  <w:style w:type="character" w:customStyle="1" w:styleId="apple-converted-space">
    <w:name w:val="apple-converted-space"/>
    <w:basedOn w:val="Policepardfaut"/>
    <w:rsid w:val="00CD6BD9"/>
  </w:style>
  <w:style w:type="character" w:styleId="lev">
    <w:name w:val="Strong"/>
    <w:basedOn w:val="Policepardfaut"/>
    <w:uiPriority w:val="22"/>
    <w:rsid w:val="00CD6BD9"/>
    <w:rPr>
      <w:b/>
    </w:rPr>
  </w:style>
  <w:style w:type="character" w:styleId="Lienhypertexte">
    <w:name w:val="Hyperlink"/>
    <w:basedOn w:val="Policepardfaut"/>
    <w:uiPriority w:val="99"/>
    <w:rsid w:val="00CD6BD9"/>
    <w:rPr>
      <w:color w:val="0000FF"/>
      <w:u w:val="single"/>
    </w:rPr>
  </w:style>
  <w:style w:type="character" w:styleId="Lienhypertextesuivi">
    <w:name w:val="FollowedHyperlink"/>
    <w:basedOn w:val="Policepardfaut"/>
    <w:uiPriority w:val="99"/>
    <w:rsid w:val="00CD6BD9"/>
    <w:rPr>
      <w:color w:val="0000FF"/>
      <w:u w:val="single"/>
    </w:rPr>
  </w:style>
  <w:style w:type="paragraph" w:styleId="NormalWeb">
    <w:name w:val="Normal (Web)"/>
    <w:basedOn w:val="Normal"/>
    <w:uiPriority w:val="99"/>
    <w:rsid w:val="00CD6BD9"/>
    <w:pPr>
      <w:spacing w:beforeLines="1" w:afterLines="1"/>
    </w:pPr>
    <w:rPr>
      <w:rFonts w:ascii="Times" w:hAnsi="Times" w:cs="Times New Roman"/>
      <w:b w:val="0"/>
      <w:color w:val="auto"/>
      <w:sz w:val="20"/>
      <w:szCs w:val="20"/>
      <w:lang w:eastAsia="fr-FR"/>
    </w:rPr>
  </w:style>
</w:styles>
</file>

<file path=word/webSettings.xml><?xml version="1.0" encoding="utf-8"?>
<w:webSettings xmlns:r="http://schemas.openxmlformats.org/officeDocument/2006/relationships" xmlns:w="http://schemas.openxmlformats.org/wordprocessingml/2006/main">
  <w:divs>
    <w:div w:id="1167093839">
      <w:bodyDiv w:val="1"/>
      <w:marLeft w:val="0"/>
      <w:marRight w:val="0"/>
      <w:marTop w:val="0"/>
      <w:marBottom w:val="0"/>
      <w:divBdr>
        <w:top w:val="none" w:sz="0" w:space="0" w:color="auto"/>
        <w:left w:val="none" w:sz="0" w:space="0" w:color="auto"/>
        <w:bottom w:val="none" w:sz="0" w:space="0" w:color="auto"/>
        <w:right w:val="none" w:sz="0" w:space="0" w:color="auto"/>
      </w:divBdr>
      <w:divsChild>
        <w:div w:id="1177890847">
          <w:marLeft w:val="0"/>
          <w:marRight w:val="0"/>
          <w:marTop w:val="0"/>
          <w:marBottom w:val="0"/>
          <w:divBdr>
            <w:top w:val="none" w:sz="0" w:space="0" w:color="auto"/>
            <w:left w:val="none" w:sz="0" w:space="0" w:color="auto"/>
            <w:bottom w:val="none" w:sz="0" w:space="0" w:color="auto"/>
            <w:right w:val="none" w:sz="0" w:space="0" w:color="auto"/>
          </w:divBdr>
          <w:divsChild>
            <w:div w:id="1670526765">
              <w:marLeft w:val="0"/>
              <w:marRight w:val="0"/>
              <w:marTop w:val="0"/>
              <w:marBottom w:val="0"/>
              <w:divBdr>
                <w:top w:val="none" w:sz="0" w:space="0" w:color="auto"/>
                <w:left w:val="none" w:sz="0" w:space="0" w:color="auto"/>
                <w:bottom w:val="none" w:sz="0" w:space="0" w:color="auto"/>
                <w:right w:val="none" w:sz="0" w:space="0" w:color="auto"/>
              </w:divBdr>
            </w:div>
          </w:divsChild>
        </w:div>
        <w:div w:id="1928230812">
          <w:marLeft w:val="546"/>
          <w:marRight w:val="0"/>
          <w:marTop w:val="0"/>
          <w:marBottom w:val="0"/>
          <w:divBdr>
            <w:top w:val="none" w:sz="0" w:space="0" w:color="auto"/>
            <w:left w:val="none" w:sz="0" w:space="0" w:color="auto"/>
            <w:bottom w:val="none" w:sz="0" w:space="0" w:color="auto"/>
            <w:right w:val="none" w:sz="0" w:space="0" w:color="auto"/>
          </w:divBdr>
          <w:divsChild>
            <w:div w:id="414283664">
              <w:marLeft w:val="0"/>
              <w:marRight w:val="0"/>
              <w:marTop w:val="0"/>
              <w:marBottom w:val="0"/>
              <w:divBdr>
                <w:top w:val="none" w:sz="0" w:space="0" w:color="auto"/>
                <w:left w:val="none" w:sz="0" w:space="0" w:color="auto"/>
                <w:bottom w:val="none" w:sz="0" w:space="0" w:color="auto"/>
                <w:right w:val="none" w:sz="0" w:space="0" w:color="auto"/>
              </w:divBdr>
              <w:divsChild>
                <w:div w:id="55798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ibpl.fr/plongee-sous-marine/N4/Detendeurs/Fiche-05.aspx" TargetMode="External"/><Relationship Id="rId20" Type="http://schemas.openxmlformats.org/officeDocument/2006/relationships/theme" Target="theme/theme1.xml"/><Relationship Id="rId10" Type="http://schemas.openxmlformats.org/officeDocument/2006/relationships/hyperlink" Target="http://www.cibpl.fr/plongee-sous-marine/N4/Detendeurs/Fiche-06.aspx" TargetMode="External"/><Relationship Id="rId11" Type="http://schemas.openxmlformats.org/officeDocument/2006/relationships/hyperlink" Target="http://www.cibpl.fr/plongee-sous-marine/N4/Detendeurs/Fiche-07.aspx" TargetMode="External"/><Relationship Id="rId12" Type="http://schemas.openxmlformats.org/officeDocument/2006/relationships/hyperlink" Target="http://www.cibpl.fr/plongee-sous-marine/N4/Detendeurs/Fiche-08.aspx" TargetMode="External"/><Relationship Id="rId13" Type="http://schemas.openxmlformats.org/officeDocument/2006/relationships/hyperlink" Target="http://www.cibpl.fr/plongee-sous-marine/N4/Detendeurs/Fiche-10.aspx" TargetMode="External"/><Relationship Id="rId14" Type="http://schemas.openxmlformats.org/officeDocument/2006/relationships/hyperlink" Target="http://www.cibpl.fr/plongee-sous-marine/N4/Detendeurs/Fiche-11.aspx" TargetMode="External"/><Relationship Id="rId15" Type="http://schemas.openxmlformats.org/officeDocument/2006/relationships/hyperlink" Target="file:///D:/Documents/Plong%C3%A9e/CTR/20190304-MaterielNIVGP/Fiches%20D%C3%A9tendeurs%20v3.doc" TargetMode="External"/><Relationship Id="rId16" Type="http://schemas.openxmlformats.org/officeDocument/2006/relationships/hyperlink" Target="file:///D:/Documents/Plong%C3%A9e/CTR/20190304-MaterielNIVGP/Fiches%20D%C3%A9tendeurs%20v3.doc" TargetMode="External"/><Relationship Id="rId17" Type="http://schemas.openxmlformats.org/officeDocument/2006/relationships/hyperlink" Target="https://www.cibpl.fr/wpFichiers/1/1/Ressources/File/PLONGEE-SOUS-MARINE/APPROFONDIR/NIVEAU-4/Materiel/FichesDetendeurs-Annotees.zip" TargetMode="External"/><Relationship Id="rId18" Type="http://schemas.openxmlformats.org/officeDocument/2006/relationships/hyperlink" Target="https://www.cibpl.fr/wpFichiers/1/1/Ressources/File/PLONGEE-SOUS-MARINE/APPROFONDIR/NIVEAU-4/Materiel/FichesDetendeurs-NonAnnotees.zip" TargetMode="External"/><Relationship Id="rId19"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www.cibpl.fr/plongee-sous-marine/N4/Detendeurs/Fiche-01.aspx" TargetMode="External"/><Relationship Id="rId5" Type="http://schemas.openxmlformats.org/officeDocument/2006/relationships/hyperlink" Target="http://www.cibpl.fr/plongee-sous-marine/N4/Detendeurs/Fiche-01.aspx" TargetMode="External"/><Relationship Id="rId6" Type="http://schemas.openxmlformats.org/officeDocument/2006/relationships/hyperlink" Target="http://www.cibpl.fr/plongee-sous-marine/N4/Detendeurs/Fiche-02.aspx" TargetMode="External"/><Relationship Id="rId7" Type="http://schemas.openxmlformats.org/officeDocument/2006/relationships/hyperlink" Target="http://www.cibpl.fr/plongee-sous-marine/N4/Detendeurs/Fiche-03.aspx" TargetMode="External"/><Relationship Id="rId8" Type="http://schemas.openxmlformats.org/officeDocument/2006/relationships/hyperlink" Target="http://www.cibpl.fr/plongee-sous-marine/N4/Detendeurs/Fiche-04.asp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722</Words>
  <Characters>4121</Characters>
  <Application>Microsoft Macintosh Word</Application>
  <DocSecurity>0</DocSecurity>
  <Lines>34</Lines>
  <Paragraphs>8</Paragraphs>
  <ScaleCrop>false</ScaleCrop>
  <LinksUpToDate>false</LinksUpToDate>
  <CharactersWithSpaces>5060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cieszkowski</dc:creator>
  <cp:keywords/>
  <cp:lastModifiedBy>david cieszkowski</cp:lastModifiedBy>
  <cp:revision>2</cp:revision>
  <dcterms:created xsi:type="dcterms:W3CDTF">2019-03-30T20:46:00Z</dcterms:created>
  <dcterms:modified xsi:type="dcterms:W3CDTF">2019-03-30T21:08:00Z</dcterms:modified>
</cp:coreProperties>
</file>