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5B7" w:rsidRPr="005D55B7" w:rsidRDefault="005D55B7" w:rsidP="005D55B7">
      <w:pPr>
        <w:shd w:val="clear" w:color="auto" w:fill="FFFFFF"/>
        <w:outlineLvl w:val="1"/>
        <w:rPr>
          <w:rFonts w:ascii="PTSans" w:hAnsi="PTSans"/>
          <w:bCs/>
          <w:color w:val="006FB7"/>
          <w:sz w:val="43"/>
          <w:szCs w:val="43"/>
          <w:lang w:eastAsia="fr-FR"/>
        </w:rPr>
      </w:pPr>
      <w:r w:rsidRPr="005D55B7">
        <w:rPr>
          <w:rFonts w:ascii="PTSans" w:hAnsi="PTSans"/>
          <w:bCs/>
          <w:color w:val="006FB7"/>
          <w:sz w:val="43"/>
          <w:szCs w:val="43"/>
          <w:lang w:eastAsia="fr-FR"/>
        </w:rPr>
        <w:br/>
        <w:t>Fiche 07 - Deuxième étage simple – Non compensé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72"/>
        <w:gridCol w:w="494"/>
      </w:tblGrid>
      <w:tr w:rsidR="005D55B7" w:rsidRPr="005D55B7" w:rsidTr="005D55B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55B7" w:rsidRPr="005D55B7" w:rsidRDefault="005D55B7" w:rsidP="005D55B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5D55B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Phases du fonctionnement</w:t>
            </w:r>
          </w:p>
          <w:p w:rsidR="005D55B7" w:rsidRPr="005D55B7" w:rsidRDefault="005D55B7" w:rsidP="005D55B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1) Lorsque le plongeur inspire ou qu’il descend, la membrane (3) s'abaisse, appuie sur le levier (6), ce qui ouvre le clapet (5) en comprimant le ressort (10). 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L'air fuse alors, en partie vers l'embout (11) et en partie vers l’orifice (5) pour compenser l'effet Venturi.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 xml:space="preserve">2) Lorsqu'il expire </w:t>
            </w:r>
            <w:proofErr w:type="gramStart"/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ou</w:t>
            </w:r>
            <w:proofErr w:type="gramEnd"/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 xml:space="preserve"> qu’il remonte, la soupape d'expiration (12) s'écarte pour laisser échapper l'air vers l'extérieur. 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Le poussoir (2) permet de purger la chambre sèche, de faciliter le démontage de la bouteille et de gonfler un parachute.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À l'inspiration ou à la descente en profondeur, la force due à la différence de pression sous la membrane multipliée par K, le rapport du levier, ouvre le clapet en comprimant le ressort.</w:t>
            </w:r>
          </w:p>
          <w:p w:rsidR="005D55B7" w:rsidRPr="005D55B7" w:rsidRDefault="005D55B7" w:rsidP="005D55B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5D55B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Forces en présence à l'équilibre</w:t>
            </w:r>
          </w:p>
          <w:p w:rsidR="005D55B7" w:rsidRPr="005D55B7" w:rsidRDefault="005D55B7" w:rsidP="005D55B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5D55B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Celle qui tend à fermer le clapet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  Force du ressort (10).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5D55B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Celles qui tendent  à ouvrir le clapet : 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Force due à la pression intermédiaire sur la surface du clapet.</w:t>
            </w:r>
          </w:p>
          <w:p w:rsidR="005D55B7" w:rsidRPr="005D55B7" w:rsidRDefault="005D55B7" w:rsidP="005D55B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5D55B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Avantages :</w:t>
            </w:r>
          </w:p>
          <w:p w:rsidR="005D55B7" w:rsidRPr="005D55B7" w:rsidRDefault="005D55B7" w:rsidP="005D55B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Deuxième étage très simple, robuste et bon marché.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Le clapet aval constitue une sécurité qui protège le tuyau MP contre les fuites du 1</w:t>
            </w:r>
            <w:r w:rsidRPr="005D55B7">
              <w:rPr>
                <w:rFonts w:ascii="PTSans" w:hAnsi="PTSans"/>
                <w:bCs/>
                <w:color w:val="001136"/>
                <w:sz w:val="24"/>
                <w:vertAlign w:val="superscript"/>
                <w:lang w:eastAsia="fr-FR"/>
              </w:rPr>
              <w:t>er</w:t>
            </w:r>
            <w:r w:rsidRPr="005D55B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 étage</w:t>
            </w:r>
          </w:p>
          <w:p w:rsidR="005D55B7" w:rsidRPr="005D55B7" w:rsidRDefault="005D55B7" w:rsidP="005D55B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r w:rsidRPr="005D55B7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55B7" w:rsidRPr="005D55B7" w:rsidRDefault="005D55B7" w:rsidP="005D55B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r w:rsidRPr="005D55B7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5D55B7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t> </w:t>
            </w:r>
          </w:p>
        </w:tc>
      </w:tr>
    </w:tbl>
    <w:p w:rsidR="005D55B7" w:rsidRPr="005D55B7" w:rsidRDefault="005D55B7" w:rsidP="005D55B7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5D55B7">
        <w:rPr>
          <w:rFonts w:ascii="PTSans" w:hAnsi="PTSans"/>
          <w:b w:val="0"/>
          <w:color w:val="006FB7"/>
          <w:sz w:val="34"/>
          <w:szCs w:val="34"/>
          <w:lang w:eastAsia="fr-FR"/>
        </w:rPr>
        <w:t>Questions / Réponses</w:t>
      </w:r>
    </w:p>
    <w:p w:rsidR="005D55B7" w:rsidRPr="005D55B7" w:rsidRDefault="005D55B7" w:rsidP="005D55B7">
      <w:pPr>
        <w:shd w:val="clear" w:color="auto" w:fill="FFFFFF"/>
        <w:outlineLvl w:val="3"/>
        <w:rPr>
          <w:rFonts w:ascii="PTSans" w:hAnsi="PTSans"/>
          <w:bCs/>
          <w:color w:val="001136"/>
          <w:sz w:val="25"/>
          <w:szCs w:val="25"/>
          <w:lang w:eastAsia="fr-FR"/>
        </w:rPr>
      </w:pP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t>- À l’équilibre, quelles sont les forces en présences ?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À tendance à fermer le clapet :</w:t>
      </w:r>
      <w:r w:rsidRPr="005D55B7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- La force du ressort (10).</w:t>
      </w:r>
      <w:r w:rsidRPr="005D55B7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Ont tendance à ouvrir le clapet :</w:t>
      </w:r>
      <w:r w:rsidRPr="005D55B7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- La pression intermédiaire (Pi) sur la surface utile du clapet.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br/>
        <w:t>- Quelle est la sécurité que procure ce clapet ?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C’est un clapet aval, il protège le tuyau contre les fuites du 1er étage.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br/>
        <w:t>- À quoi sert le bouton de purge ?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Le poussoir (2) permet de purger la chambre sèche (4), de faciliter la déconnexion d'avec la bouteille et de gonfler un parachute.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br/>
        <w:t>- Décrivez le fonctionnement de ce 2</w:t>
      </w:r>
      <w:r w:rsidRPr="005D55B7">
        <w:rPr>
          <w:rFonts w:ascii="PTSans" w:hAnsi="PTSans"/>
          <w:bCs/>
          <w:color w:val="001136"/>
          <w:sz w:val="24"/>
          <w:vertAlign w:val="superscript"/>
          <w:lang w:eastAsia="fr-FR"/>
        </w:rPr>
        <w:t>e</w:t>
      </w:r>
      <w:r w:rsidRPr="005D55B7">
        <w:rPr>
          <w:rFonts w:ascii="PTSans" w:hAnsi="PTSans"/>
          <w:bCs/>
          <w:color w:val="001136"/>
          <w:sz w:val="25"/>
          <w:lang w:eastAsia="fr-FR"/>
        </w:rPr>
        <w:t> 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t>étage à l’inspiration et à l'expiration.</w:t>
      </w:r>
      <w:r w:rsidRPr="005D55B7">
        <w:rPr>
          <w:rFonts w:ascii="PTSans" w:hAnsi="PTSans"/>
          <w:bCs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À l'inspiration, la membrane appuie sur le levier qui ouvre le clapet en comprimant le ressort. L'air fuse vers l'embout.</w:t>
      </w:r>
      <w:r w:rsidRPr="005D55B7">
        <w:rPr>
          <w:rFonts w:ascii="PTSans" w:hAnsi="PTSans"/>
          <w:bCs/>
          <w:i/>
          <w:color w:val="001136"/>
          <w:sz w:val="25"/>
          <w:szCs w:val="25"/>
          <w:lang w:eastAsia="fr-FR"/>
        </w:rPr>
        <w:br/>
      </w:r>
      <w:r w:rsidRPr="005D55B7">
        <w:rPr>
          <w:rFonts w:ascii="PTSans" w:hAnsi="PTSans"/>
          <w:bCs/>
          <w:i/>
          <w:color w:val="001136"/>
          <w:sz w:val="25"/>
          <w:lang w:eastAsia="fr-FR"/>
        </w:rPr>
        <w:t>- À l'expiration, la pression fournie par le plongeur dans la chambre sèche repousse la soupape d'expiration. L'air expiré s'échappe dans l'eau ambiante.</w:t>
      </w:r>
    </w:p>
    <w:p w:rsidR="005D55B7" w:rsidRPr="005D55B7" w:rsidRDefault="005D55B7" w:rsidP="005D55B7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5D55B7">
        <w:rPr>
          <w:rFonts w:ascii="PTSans" w:hAnsi="PTSans"/>
          <w:b w:val="0"/>
          <w:color w:val="006FB7"/>
          <w:sz w:val="34"/>
          <w:szCs w:val="34"/>
          <w:lang w:eastAsia="fr-FR"/>
        </w:rPr>
        <w:t>Les Planches :</w:t>
      </w:r>
      <w:r w:rsidRPr="005D55B7">
        <w:rPr>
          <w:rFonts w:ascii="PTSans" w:hAnsi="PTSans"/>
          <w:b w:val="0"/>
          <w:color w:val="006FB7"/>
          <w:sz w:val="34"/>
          <w:lang w:eastAsia="fr-FR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86"/>
        <w:gridCol w:w="480"/>
      </w:tblGrid>
      <w:tr w:rsidR="005D55B7" w:rsidRPr="005D55B7" w:rsidTr="005D55B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5D55B7" w:rsidRDefault="005D55B7" w:rsidP="005D55B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5D55B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Fiche 07 - Deuxième étage simple – Non compensé (Annoté)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55B7" w:rsidRPr="005D55B7" w:rsidRDefault="005D55B7" w:rsidP="005D55B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4" w:history="1">
              <w:r w:rsidRPr="005D55B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7 Deuxieme %C3%A9tage simple An - Non compens%C3%A9.pdf" style="width:24pt;height:24pt" o:button="t"/>
                </w:pict>
              </w:r>
            </w:hyperlink>
          </w:p>
        </w:tc>
      </w:tr>
      <w:tr w:rsidR="005D55B7" w:rsidRPr="005D55B7" w:rsidTr="005D55B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5D55B7" w:rsidRDefault="005D55B7" w:rsidP="005D55B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5D55B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Fiche 07 - Deuxième étage simple – Non compensé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55B7" w:rsidRPr="005D55B7" w:rsidRDefault="005D55B7" w:rsidP="005D55B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5" w:history="1">
              <w:r w:rsidRPr="005D55B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7 Deuxieme %C3%A9tage simple Na - Non compens%C3%A9.pdf" style="width:24pt;height:24pt" o:button="t"/>
                </w:pict>
              </w:r>
            </w:hyperlink>
          </w:p>
        </w:tc>
      </w:tr>
    </w:tbl>
    <w:p w:rsidR="00444E32" w:rsidRDefault="005D55B7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D55B7"/>
    <w:rsid w:val="005D55B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5D55B7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5D55B7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5D55B7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D55B7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D55B7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D55B7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5D55B7"/>
    <w:rPr>
      <w:i/>
    </w:rPr>
  </w:style>
  <w:style w:type="character" w:customStyle="1" w:styleId="apple-converted-space">
    <w:name w:val="apple-converted-space"/>
    <w:basedOn w:val="Policepardfaut"/>
    <w:rsid w:val="005D5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7%20Deuxieme%20%C3%A9tage%20simple%20An%20-%20Non%20compens%C3%A9.pdf" TargetMode="External"/><Relationship Id="rId5" Type="http://schemas.openxmlformats.org/officeDocument/2006/relationships/hyperlink" Target="https://www.cibpl.fr/wpFichiers/1/1/Ressources/File/PLONGEE-SOUS-MARINE/APPROFONDIR/NIVEAU-4/Materiel/07%20Deuxieme%20%C3%A9tage%20simple%20Na%20-%20Non%20compens%C3%A9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431</Words>
  <Characters>2459</Characters>
  <Application>Microsoft Macintosh Word</Application>
  <DocSecurity>0</DocSecurity>
  <Lines>20</Lines>
  <Paragraphs>4</Paragraphs>
  <ScaleCrop>false</ScaleCrop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2019-03-30T21:22:00Z</dcterms:created>
  <dcterms:modified xsi:type="dcterms:W3CDTF">2019-03-30T21:23:00Z</dcterms:modified>
</cp:coreProperties>
</file>