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2C7" w:rsidRPr="002C72C7" w:rsidRDefault="002C72C7" w:rsidP="002C72C7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2C72C7">
        <w:rPr>
          <w:rFonts w:ascii="PTSans" w:hAnsi="PTSans"/>
          <w:bCs/>
          <w:color w:val="006FB7"/>
          <w:sz w:val="43"/>
          <w:szCs w:val="43"/>
          <w:lang w:eastAsia="fr-FR"/>
        </w:rPr>
        <w:t xml:space="preserve">Fiche 11 - </w:t>
      </w:r>
      <w:proofErr w:type="gramStart"/>
      <w:r w:rsidRPr="002C72C7">
        <w:rPr>
          <w:rFonts w:ascii="PTSans" w:hAnsi="PTSans"/>
          <w:bCs/>
          <w:color w:val="006FB7"/>
          <w:sz w:val="43"/>
          <w:szCs w:val="43"/>
          <w:lang w:eastAsia="fr-FR"/>
        </w:rPr>
        <w:t>Deuxième étage</w:t>
      </w:r>
      <w:proofErr w:type="gramEnd"/>
      <w:r w:rsidRPr="002C72C7">
        <w:rPr>
          <w:rFonts w:ascii="PTSans" w:hAnsi="PTSans"/>
          <w:bCs/>
          <w:color w:val="006FB7"/>
          <w:sz w:val="43"/>
          <w:szCs w:val="43"/>
          <w:lang w:eastAsia="fr-FR"/>
        </w:rPr>
        <w:t xml:space="preserve"> - Effet Vortex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67"/>
        <w:gridCol w:w="499"/>
      </w:tblGrid>
      <w:tr w:rsidR="002C72C7" w:rsidRPr="002C72C7" w:rsidTr="002C72C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C7" w:rsidRPr="002C72C7" w:rsidRDefault="002C72C7" w:rsidP="002C72C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2C72C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Fonctionnement</w:t>
            </w:r>
          </w:p>
          <w:p w:rsidR="002C72C7" w:rsidRPr="002C72C7" w:rsidRDefault="002C72C7" w:rsidP="002C72C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L'effet "Vortex" consiste à séparer l'inspiration du plongeur de l'arrivée de l'air MP en créant un tourbillon dans l'embout du détendeur.</w:t>
            </w:r>
            <w:r w:rsidRPr="002C72C7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L'arrivée de l'air ne passe pas par la chambre sèche.</w:t>
            </w:r>
            <w:r w:rsidRPr="002C72C7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Le débit d'air à la sortie de la buse peut être élevé tout en ne provoquant que peu d'effet Venturi.</w:t>
            </w:r>
            <w:r w:rsidRPr="002C72C7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L'inspiration en basse pression du plongeur emprunte la zone centrale du tourbillon.</w:t>
            </w:r>
          </w:p>
          <w:p w:rsidR="002C72C7" w:rsidRPr="002C72C7" w:rsidRDefault="002C72C7" w:rsidP="002C72C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2C72C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Avantages :</w:t>
            </w:r>
          </w:p>
          <w:p w:rsidR="002C72C7" w:rsidRPr="002C72C7" w:rsidRDefault="002C72C7" w:rsidP="002C72C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L'effet Vortex est plus stable que l'effet Venturi et ne nécessite pas de réglage par l'utilisateur. Ceci facilite l'utilisation et réduit les coûts.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Bonne résistance au givrage. Le flux d'air froid se réchauffe lors de son passage dans le tuyau latéral.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Ce flux ne rencontre pas le mécanisme du détendeur ce qui réduit encore les risques de givrage.</w:t>
            </w:r>
          </w:p>
          <w:p w:rsidR="002C72C7" w:rsidRPr="002C72C7" w:rsidRDefault="002C72C7" w:rsidP="002C72C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2C72C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Questions / Réponses</w:t>
            </w:r>
          </w:p>
          <w:p w:rsidR="00000000" w:rsidRPr="002C72C7" w:rsidRDefault="002C72C7" w:rsidP="002C72C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En quoi consiste l'effet Vortex dans un détendeur ?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2C72C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À séparer l'inspiration du plongeur de l'arrivée de l'air.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Pourquoi l’effet Vortex ne nécessite t-il pas de réglage ?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2C72C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Parce qu’il est plus stable que l'effet Venturi.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Pourquoi l’effet Vortex améliore t-il la résistance au givrage ?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2C72C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Parce que l’air froid se réchauffe en passant dans le tuyau latéral.</w:t>
            </w:r>
            <w:r w:rsidRPr="002C72C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Parce que l’air froid ne rencontre pas le mécanisme du détendeur.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C7" w:rsidRPr="002C72C7" w:rsidRDefault="002C72C7" w:rsidP="002C72C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2C72C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2C72C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</w:tr>
    </w:tbl>
    <w:p w:rsidR="002C72C7" w:rsidRPr="002C72C7" w:rsidRDefault="002C72C7" w:rsidP="002C72C7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2C72C7">
        <w:rPr>
          <w:rFonts w:ascii="PTSans" w:hAnsi="PTSans"/>
          <w:b w:val="0"/>
          <w:color w:val="006FB7"/>
          <w:sz w:val="34"/>
          <w:szCs w:val="34"/>
          <w:lang w:eastAsia="fr-FR"/>
        </w:rPr>
        <w:t>Les Planches :</w:t>
      </w:r>
      <w:r w:rsidRPr="002C72C7">
        <w:rPr>
          <w:rFonts w:ascii="PTSans" w:hAnsi="PTSans"/>
          <w:b w:val="0"/>
          <w:color w:val="006FB7"/>
          <w:sz w:val="34"/>
          <w:lang w:eastAsia="fr-FR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2C72C7" w:rsidRPr="002C72C7" w:rsidTr="002C72C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2C72C7" w:rsidRDefault="002C72C7" w:rsidP="002C72C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2C72C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11 - Deuxième étage - Effet Vortex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C7" w:rsidRPr="002C72C7" w:rsidRDefault="002C72C7" w:rsidP="002C72C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4" w:history="1">
              <w:r w:rsidRPr="002C72C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11 Deuxi%C3%A8me %C3%A9tage An - Effet Vortex.pdf" style="width:24pt;height:24pt" o:button="t"/>
                </w:pict>
              </w:r>
            </w:hyperlink>
          </w:p>
        </w:tc>
      </w:tr>
      <w:tr w:rsidR="002C72C7" w:rsidRPr="002C72C7" w:rsidTr="002C72C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2C72C7" w:rsidRDefault="002C72C7" w:rsidP="002C72C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2C72C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11 - Deuxième étage - Effet Vortex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72C7" w:rsidRPr="002C72C7" w:rsidRDefault="002C72C7" w:rsidP="002C72C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5" w:history="1">
              <w:r w:rsidRPr="002C72C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11 Deuxi%C3%A8me %C3%A9tage Na - Effet Vortex.pdf" style="width:24pt;height:24pt" o:button="t"/>
                </w:pict>
              </w:r>
            </w:hyperlink>
          </w:p>
        </w:tc>
      </w:tr>
    </w:tbl>
    <w:p w:rsidR="00444E32" w:rsidRDefault="002C72C7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C72C7"/>
    <w:rsid w:val="002C72C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2C72C7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2C72C7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2C72C7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C72C7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C72C7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C72C7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2C72C7"/>
    <w:rPr>
      <w:i/>
    </w:rPr>
  </w:style>
  <w:style w:type="character" w:customStyle="1" w:styleId="apple-converted-space">
    <w:name w:val="apple-converted-space"/>
    <w:basedOn w:val="Policepardfaut"/>
    <w:rsid w:val="002C7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11%20Deuxi%C3%A8me%20%C3%A9tage%20An%20-%20Effet%20Vortex.pdf" TargetMode="External"/><Relationship Id="rId5" Type="http://schemas.openxmlformats.org/officeDocument/2006/relationships/hyperlink" Target="https://www.cibpl.fr/wpFichiers/1/1/Ressources/File/PLONGEE-SOUS-MARINE/APPROFONDIR/NIVEAU-4/Materiel/11%20Deuxi%C3%A8me%20%C3%A9tage%20Na%20-%20Effet%20Vortex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1796</Characters>
  <Application>Microsoft Macintosh Word</Application>
  <DocSecurity>0</DocSecurity>
  <Lines>14</Lines>
  <Paragraphs>3</Paragraphs>
  <ScaleCrop>false</ScaleCrop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2019-03-30T21:30:00Z</dcterms:created>
  <dcterms:modified xsi:type="dcterms:W3CDTF">2019-03-30T21:31:00Z</dcterms:modified>
</cp:coreProperties>
</file>