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E54" w:rsidRPr="00511E54" w:rsidRDefault="00511E54" w:rsidP="00511E54">
      <w:pPr>
        <w:shd w:val="clear" w:color="auto" w:fill="FFFFFF"/>
        <w:outlineLvl w:val="1"/>
        <w:rPr>
          <w:rFonts w:ascii="PTSans" w:hAnsi="PTSans"/>
          <w:bCs/>
          <w:color w:val="006FB7"/>
          <w:sz w:val="56"/>
          <w:szCs w:val="56"/>
          <w:lang w:eastAsia="fr-FR"/>
        </w:rPr>
      </w:pPr>
      <w:r w:rsidRPr="00511E54">
        <w:rPr>
          <w:rFonts w:ascii="PTSans" w:hAnsi="PTSans"/>
          <w:bCs/>
          <w:color w:val="006FB7"/>
          <w:sz w:val="56"/>
          <w:szCs w:val="56"/>
          <w:lang w:eastAsia="fr-FR"/>
        </w:rPr>
        <w:br/>
        <w:t>Fiche 05 - Premier étage à piston (Compensation par buse mobile)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511E54" w:rsidRPr="00511E54" w:rsidTr="00511E5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E54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Principe du fonctionnement</w:t>
            </w:r>
          </w:p>
          <w:p w:rsidR="00511E54" w:rsidRPr="00511E54" w:rsidRDefault="00511E54" w:rsidP="00511E5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Dans ces détendeurs l'air arrive à travers le clapet. Celui-ci a la forme d'une buse mobile (tuyau cylindrique de faible longueur) qui, lorsqu'elle s'écarte du siège, permet à l'air de la traverser (4). 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On voit que la pression s'exerce autour et perpendiculairement à la buse et, quelle que soit cette pression, il n'existe aucune force suivant son axe tendant à l'ouvrir ou à la refermer. L'effort pour fermer ou ouvrir ce type de clapet est donc nul. 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À l'inspiration la force due à la pression intermédiaire diminue, le ressort repousse le piston et le clapet s'ouvre.</w:t>
            </w:r>
          </w:p>
          <w:p w:rsidR="00511E54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Forces en présence à l'équilibre</w:t>
            </w:r>
          </w:p>
          <w:p w:rsidR="00511E54" w:rsidRPr="00511E54" w:rsidRDefault="00511E54" w:rsidP="00511E5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Les forces dues à la HP sur la buse s'annulent.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Celles qui tendent à ouvrir le clapet :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La force du ressort.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humide, la Pression ambiante sur la surface du piston.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 qui tend à fermer le clapet :</w:t>
            </w: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La pression intermédiaire de sortie Pi=MP+Pa qui agit sur la surface du piston</w:t>
            </w:r>
          </w:p>
          <w:p w:rsidR="00511E54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Avantage :</w:t>
            </w:r>
          </w:p>
          <w:p w:rsidR="00511E54" w:rsidRPr="00511E54" w:rsidRDefault="00511E54" w:rsidP="00511E5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Il n’y a pas d'espaces confinés. Le flux d'air qui traverse la buse élimine l'eau et les dépôts qui peuvent s'y introduire. Ces détendeurs sont donc auto-nettoyants.</w:t>
            </w:r>
          </w:p>
          <w:p w:rsidR="00511E54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Inconvénients :</w:t>
            </w:r>
          </w:p>
          <w:p w:rsidR="00000000" w:rsidRPr="00511E54" w:rsidRDefault="00511E54" w:rsidP="00511E5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511E5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La buse traverse l’eau ambiante qui peut geler sous l’effet de la détente de l’air. </w:t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(Dans sa version la plus simple, ce type de détendeur est très sensible au givrage)</w:t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br/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- L’accès au réglage du ressort qui détermine la MP est difficile. Elle se règle au montage par des cales d'épaisseur.</w:t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szCs w:val="25"/>
                <w:lang w:eastAsia="fr-FR"/>
              </w:rPr>
              <w:br/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- Lorsque le premier étage est immergé sans protection, lors d'un rinçage de l'eau peut pénétrer dans la chambre HP et même parfois jusqu’au 2</w:t>
            </w:r>
            <w:r w:rsidRPr="00511E54">
              <w:rPr>
                <w:rFonts w:ascii="PTSans" w:hAnsi="PTSans"/>
                <w:bCs/>
                <w:i/>
                <w:color w:val="001136"/>
                <w:sz w:val="24"/>
                <w:vertAlign w:val="superscript"/>
                <w:lang w:eastAsia="fr-FR"/>
              </w:rPr>
              <w:t>e</w:t>
            </w:r>
            <w:r w:rsidRPr="00511E5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 étage.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E54" w:rsidRPr="00511E54" w:rsidRDefault="00511E54" w:rsidP="00511E5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511E5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</w:tr>
    </w:tbl>
    <w:p w:rsidR="00511E54" w:rsidRPr="00511E54" w:rsidRDefault="00511E54" w:rsidP="00511E54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511E54">
        <w:rPr>
          <w:rFonts w:ascii="PTSans" w:hAnsi="PTSans"/>
          <w:b w:val="0"/>
          <w:color w:val="006FB7"/>
          <w:szCs w:val="44"/>
          <w:lang w:eastAsia="fr-FR"/>
        </w:rPr>
        <w:t>Questions / Réponses</w:t>
      </w:r>
    </w:p>
    <w:p w:rsidR="00511E54" w:rsidRPr="00511E54" w:rsidRDefault="00511E54" w:rsidP="00511E54">
      <w:pPr>
        <w:shd w:val="clear" w:color="auto" w:fill="FFFFFF"/>
        <w:outlineLvl w:val="3"/>
        <w:rPr>
          <w:rFonts w:ascii="PTSans" w:hAnsi="PTSans"/>
          <w:bCs/>
          <w:color w:val="001136"/>
          <w:sz w:val="32"/>
          <w:szCs w:val="32"/>
          <w:lang w:eastAsia="fr-FR"/>
        </w:rPr>
      </w:pPr>
      <w:r w:rsidRPr="00511E54">
        <w:rPr>
          <w:rFonts w:ascii="PTSans" w:hAnsi="PTSans"/>
          <w:bCs/>
          <w:color w:val="001136"/>
          <w:sz w:val="32"/>
          <w:szCs w:val="32"/>
          <w:lang w:eastAsia="fr-FR"/>
        </w:rPr>
        <w:t>- Comment ce 1</w:t>
      </w:r>
      <w:r w:rsidRPr="00511E54">
        <w:rPr>
          <w:rFonts w:ascii="PTSans" w:hAnsi="PTSans"/>
          <w:bCs/>
          <w:color w:val="001136"/>
          <w:sz w:val="24"/>
          <w:vertAlign w:val="superscript"/>
          <w:lang w:eastAsia="fr-FR"/>
        </w:rPr>
        <w:t>er</w:t>
      </w:r>
      <w:r w:rsidRPr="00511E54">
        <w:rPr>
          <w:rFonts w:ascii="PTSans" w:hAnsi="PTSans"/>
          <w:bCs/>
          <w:color w:val="001136"/>
          <w:sz w:val="32"/>
          <w:lang w:eastAsia="fr-FR"/>
        </w:rPr>
        <w:t> </w:t>
      </w:r>
      <w:r w:rsidRPr="00511E54">
        <w:rPr>
          <w:rFonts w:ascii="PTSans" w:hAnsi="PTSans"/>
          <w:bCs/>
          <w:color w:val="001136"/>
          <w:sz w:val="32"/>
          <w:szCs w:val="32"/>
          <w:lang w:eastAsia="fr-FR"/>
        </w:rPr>
        <w:t>étage est-il compensé</w:t>
      </w:r>
      <w:r w:rsidRPr="00511E5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511E54">
        <w:rPr>
          <w:rFonts w:ascii="PTSans" w:hAnsi="PTSans"/>
          <w:bCs/>
          <w:i/>
          <w:color w:val="001136"/>
          <w:sz w:val="32"/>
          <w:lang w:eastAsia="fr-FR"/>
        </w:rPr>
        <w:t>La HP ne s’exerce que perpendiculairement à l'axe de la buse mobile. Il n’y a donc pas de force suivant son axe qui pourraient ouvrir ou fermer ce clapet.</w:t>
      </w:r>
      <w:r w:rsidRPr="00511E54">
        <w:rPr>
          <w:rFonts w:ascii="PTSans" w:hAnsi="PTSans"/>
          <w:bCs/>
          <w:color w:val="001136"/>
          <w:sz w:val="32"/>
          <w:szCs w:val="32"/>
          <w:lang w:eastAsia="fr-FR"/>
        </w:rPr>
        <w:br/>
        <w:t>- Comment peut-on régler la MP ?</w:t>
      </w:r>
      <w:r w:rsidRPr="00511E5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511E54">
        <w:rPr>
          <w:rFonts w:ascii="PTSans" w:hAnsi="PTSans"/>
          <w:bCs/>
          <w:i/>
          <w:color w:val="001136"/>
          <w:sz w:val="32"/>
          <w:lang w:eastAsia="fr-FR"/>
        </w:rPr>
        <w:t>Elle se règle au montage par des cales d'épaisseur.</w:t>
      </w:r>
    </w:p>
    <w:p w:rsidR="00511E54" w:rsidRPr="00511E54" w:rsidRDefault="00511E54" w:rsidP="00511E54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511E54">
        <w:rPr>
          <w:rFonts w:ascii="PTSans" w:hAnsi="PTSans"/>
          <w:b w:val="0"/>
          <w:color w:val="006FB7"/>
          <w:szCs w:val="44"/>
          <w:lang w:eastAsia="fr-FR"/>
        </w:rPr>
        <w:t>Planches 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36"/>
        <w:gridCol w:w="530"/>
      </w:tblGrid>
      <w:tr w:rsidR="00511E54" w:rsidRPr="00511E54" w:rsidTr="00511E5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05 - Premier étage à piston compensé (Annoté)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E54" w:rsidRPr="00511E54" w:rsidRDefault="00511E54" w:rsidP="00511E5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4" w:history="1">
              <w:r w:rsidRPr="00511E54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5 Premier %C3%A9tage %C3%A0 piston - Compens%C3%A9 An.pdf" style="width:24pt;height:24pt" o:button="t"/>
                </w:pict>
              </w:r>
            </w:hyperlink>
            <w:r w:rsidRPr="00511E5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</w:p>
        </w:tc>
      </w:tr>
      <w:tr w:rsidR="00511E54" w:rsidRPr="00511E54" w:rsidTr="00511E5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511E54" w:rsidRDefault="00511E54" w:rsidP="00511E5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511E5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05 - Premier étage à piston compensé (Non 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11E54" w:rsidRPr="00511E54" w:rsidRDefault="00511E54" w:rsidP="00511E5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511E5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  <w:hyperlink r:id="rId5" w:history="1">
              <w:r w:rsidRPr="00511E54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5 Premier %C3%A9tage %C3%A0 piston Na - Compens%C3%A9.pdf" style="width:24pt;height:24pt" o:button="t"/>
                </w:pict>
              </w:r>
            </w:hyperlink>
          </w:p>
        </w:tc>
      </w:tr>
    </w:tbl>
    <w:p w:rsidR="00511E54" w:rsidRPr="00511E54" w:rsidRDefault="00511E54" w:rsidP="00511E54">
      <w:pPr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begin"/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instrText xml:space="preserve"> HYPERLINK "https://mon.cibpl.fr/" \t "_blank" </w:instrText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separate"/>
      </w:r>
      <w:r w:rsidRPr="00511E54">
        <w:rPr>
          <w:rFonts w:ascii="Helvetica Neue" w:hAnsi="Helvetica Neue"/>
          <w:b w:val="0"/>
          <w:color w:val="337AB7"/>
          <w:sz w:val="20"/>
          <w:szCs w:val="20"/>
          <w:lang w:eastAsia="fr-FR"/>
        </w:rPr>
        <w:pict>
          <v:shape id="_x0000_i1028" type="#_x0000_t75" alt="ub2" href="https://mon.cibpl.fr/" target="&quot;_blank&quot;" style="width:24pt;height:24pt" o:button="t"/>
        </w:pict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end"/>
      </w:r>
    </w:p>
    <w:p w:rsidR="00511E54" w:rsidRPr="00511E54" w:rsidRDefault="00511E54" w:rsidP="00511E54">
      <w:pPr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begin"/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instrText xml:space="preserve"> HYPERLINK "https://mon.cibpl.fr/formations" \t "_blank" </w:instrText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separate"/>
      </w:r>
      <w:r w:rsidRPr="00511E54">
        <w:rPr>
          <w:rFonts w:ascii="Helvetica Neue" w:hAnsi="Helvetica Neue"/>
          <w:b w:val="0"/>
          <w:color w:val="337AB7"/>
          <w:sz w:val="20"/>
          <w:szCs w:val="20"/>
          <w:lang w:eastAsia="fr-FR"/>
        </w:rPr>
        <w:pict>
          <v:shape id="_x0000_i1029" type="#_x0000_t75" alt="ub3" href="https://mon.cibpl.fr/formations" target="&quot;_blank&quot;" style="width:24pt;height:24pt" o:button="t"/>
        </w:pict>
      </w:r>
      <w:r w:rsidRPr="00511E54">
        <w:rPr>
          <w:rFonts w:ascii="Helvetica Neue" w:hAnsi="Helvetica Neue"/>
          <w:b w:val="0"/>
          <w:color w:val="333333"/>
          <w:sz w:val="20"/>
          <w:szCs w:val="20"/>
          <w:lang w:eastAsia="fr-FR"/>
        </w:rPr>
        <w:fldChar w:fldCharType="end"/>
      </w:r>
    </w:p>
    <w:p w:rsidR="00511E54" w:rsidRPr="00511E54" w:rsidRDefault="00511E54" w:rsidP="00511E54">
      <w:pPr>
        <w:shd w:val="clear" w:color="auto" w:fill="FFFFFF"/>
        <w:rPr>
          <w:rFonts w:ascii="Helvetica Neue" w:hAnsi="Helvetica Neue"/>
          <w:b w:val="0"/>
          <w:color w:val="333333"/>
          <w:sz w:val="20"/>
          <w:szCs w:val="20"/>
          <w:lang w:eastAsia="fr-FR"/>
        </w:rPr>
      </w:pPr>
    </w:p>
    <w:p w:rsidR="00444E32" w:rsidRDefault="00511E54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1E54"/>
    <w:rsid w:val="00511E5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511E54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511E54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511E54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11E54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11E54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11E54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511E54"/>
    <w:rPr>
      <w:i/>
    </w:rPr>
  </w:style>
  <w:style w:type="character" w:customStyle="1" w:styleId="apple-converted-space">
    <w:name w:val="apple-converted-space"/>
    <w:basedOn w:val="Policepardfaut"/>
    <w:rsid w:val="00511E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5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3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155726">
              <w:marLeft w:val="54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7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27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8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0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5%20Premier%20%C3%A9tage%20%C3%A0%20piston%20-%20Compens%C3%A9%20An.pdf" TargetMode="External"/><Relationship Id="rId5" Type="http://schemas.openxmlformats.org/officeDocument/2006/relationships/hyperlink" Target="https://www.cibpl.fr/wpFichiers/1/1/Ressources/File/PLONGEE-SOUS-MARINE/APPROFONDIR/NIVEAU-4/Materiel/05%20Premier%20%C3%A9tage%20%C3%A0%20piston%20Na%20-%20Compens%C3%A9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2637</Characters>
  <Application>Microsoft Macintosh Word</Application>
  <DocSecurity>0</DocSecurity>
  <Lines>21</Lines>
  <Paragraphs>5</Paragraphs>
  <ScaleCrop>false</ScaleCrop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2019-03-30T21:19:00Z</dcterms:created>
  <dcterms:modified xsi:type="dcterms:W3CDTF">2019-03-30T21:19:00Z</dcterms:modified>
</cp:coreProperties>
</file>